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69556779"/>
        <w:docPartObj>
          <w:docPartGallery w:val="Cover Pages"/>
          <w:docPartUnique/>
        </w:docPartObj>
      </w:sdtPr>
      <w:sdtEndPr>
        <w:rPr>
          <w:sz w:val="36"/>
          <w:szCs w:val="36"/>
        </w:rPr>
      </w:sdtEndPr>
      <w:sdtContent>
        <w:p w14:paraId="4081F2E6" w14:textId="3205430B" w:rsidR="00E5177B" w:rsidRDefault="00E5177B">
          <w:r>
            <w:rPr>
              <w:noProof/>
            </w:rPr>
            <w:drawing>
              <wp:anchor distT="0" distB="0" distL="114300" distR="114300" simplePos="0" relativeHeight="251662336" behindDoc="1" locked="0" layoutInCell="1" allowOverlap="1" wp14:anchorId="671CCB57" wp14:editId="4DEAC404">
                <wp:simplePos x="0" y="0"/>
                <wp:positionH relativeFrom="column">
                  <wp:posOffset>-905347</wp:posOffset>
                </wp:positionH>
                <wp:positionV relativeFrom="paragraph">
                  <wp:posOffset>-905347</wp:posOffset>
                </wp:positionV>
                <wp:extent cx="7532484" cy="10654467"/>
                <wp:effectExtent l="0" t="0" r="0" b="0"/>
                <wp:wrapNone/>
                <wp:docPr id="1" name="Picture 1" descr="Student equity in higher education: research, policy, practice and data&#10;Guide For Staff&#10;Nicole Crawford June 2022&#10;&#10;Cover illustration: Seeking WiFi&#10;&#10;Illustration of a person standing in a paddock at night time. There is a cow and a sheep in the paddock. There are stars and the moon in the sky. The person is holding their mobile phone up in the air trying to get an internet connection. The wifi symbol is drawn above th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 equity in higher education: research, policy, practice and data&#10;Guide For Staff&#10;Nicole Crawford June 2022&#10;&#10;Cover illustration: Seeking WiFi&#10;&#10;Illustration of a person standing in a paddock at night time. There is a cow and a sheep in the paddock. There are stars and the moon in the sky. The person is holding their mobile phone up in the air trying to get an internet connection. The wifi symbol is drawn above the person."/>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9719" cy="10664700"/>
                        </a:xfrm>
                        <a:prstGeom prst="rect">
                          <a:avLst/>
                        </a:prstGeom>
                      </pic:spPr>
                    </pic:pic>
                  </a:graphicData>
                </a:graphic>
                <wp14:sizeRelH relativeFrom="page">
                  <wp14:pctWidth>0</wp14:pctWidth>
                </wp14:sizeRelH>
                <wp14:sizeRelV relativeFrom="page">
                  <wp14:pctHeight>0</wp14:pctHeight>
                </wp14:sizeRelV>
              </wp:anchor>
            </w:drawing>
          </w:r>
        </w:p>
        <w:p w14:paraId="7E9FAA9B" w14:textId="08720A00" w:rsidR="00E5177B" w:rsidRDefault="00E5177B">
          <w:pPr>
            <w:spacing w:after="0"/>
            <w:rPr>
              <w:rFonts w:ascii="SansaSoft Pro SemiBold" w:eastAsia="Times New Roman" w:hAnsi="SansaSoft Pro SemiBold"/>
              <w:bCs/>
              <w:color w:val="B58C0A"/>
              <w:kern w:val="32"/>
              <w:sz w:val="36"/>
              <w:szCs w:val="36"/>
            </w:rPr>
          </w:pPr>
          <w:r>
            <w:rPr>
              <w:sz w:val="36"/>
              <w:szCs w:val="36"/>
            </w:rPr>
            <w:br w:type="page"/>
          </w:r>
        </w:p>
      </w:sdtContent>
    </w:sdt>
    <w:p w14:paraId="54C15703" w14:textId="1313EE0A" w:rsidR="009E6A8C" w:rsidRPr="005134B4" w:rsidRDefault="009E6A8C" w:rsidP="009E6A8C">
      <w:pPr>
        <w:pStyle w:val="Heading1"/>
        <w:rPr>
          <w:sz w:val="36"/>
          <w:szCs w:val="36"/>
        </w:rPr>
      </w:pPr>
      <w:r w:rsidRPr="005134B4">
        <w:rPr>
          <w:sz w:val="36"/>
          <w:szCs w:val="36"/>
        </w:rPr>
        <w:lastRenderedPageBreak/>
        <w:t xml:space="preserve">Student equity in higher education: research, policy, </w:t>
      </w:r>
      <w:proofErr w:type="gramStart"/>
      <w:r w:rsidRPr="005134B4">
        <w:rPr>
          <w:sz w:val="36"/>
          <w:szCs w:val="36"/>
        </w:rPr>
        <w:t>practice</w:t>
      </w:r>
      <w:proofErr w:type="gramEnd"/>
      <w:r w:rsidRPr="005134B4">
        <w:rPr>
          <w:sz w:val="36"/>
          <w:szCs w:val="36"/>
        </w:rPr>
        <w:t xml:space="preserve"> and data</w:t>
      </w:r>
    </w:p>
    <w:p w14:paraId="1BFED3FF" w14:textId="38B2F148" w:rsidR="009E6A8C" w:rsidRDefault="009E6A8C" w:rsidP="009E6A8C">
      <w:pPr>
        <w:pStyle w:val="Heading3"/>
      </w:pPr>
      <w:r>
        <w:t>Nicole Crawford, National Centre for Student Equity in Higher Education</w:t>
      </w:r>
      <w:r>
        <w:rPr>
          <w:rStyle w:val="FootnoteReference"/>
        </w:rPr>
        <w:footnoteReference w:id="1"/>
      </w:r>
    </w:p>
    <w:p w14:paraId="1A179490" w14:textId="77777777" w:rsidR="009E6A8C" w:rsidRDefault="009E6A8C" w:rsidP="009E6A8C">
      <w:pPr>
        <w:pStyle w:val="Heading2"/>
      </w:pPr>
      <w:r>
        <w:t>Introduction</w:t>
      </w:r>
    </w:p>
    <w:p w14:paraId="5EC1EC9D" w14:textId="51FD56EE" w:rsidR="009E6A8C" w:rsidRDefault="009E6A8C" w:rsidP="009E6A8C">
      <w:r>
        <w:t xml:space="preserve">Working in higher education, you may be interested in research, policy, </w:t>
      </w:r>
      <w:proofErr w:type="gramStart"/>
      <w:r>
        <w:t>practice</w:t>
      </w:r>
      <w:proofErr w:type="gramEnd"/>
      <w:r>
        <w:t xml:space="preserve"> and data about equity students to get a sense, for instance, of the bigger </w:t>
      </w:r>
      <w:r w:rsidRPr="00FC6D0B">
        <w:t>picture or to learn about equity initiatives.</w:t>
      </w:r>
      <w:r>
        <w:t xml:space="preserve"> Where do you begin?</w:t>
      </w:r>
    </w:p>
    <w:p w14:paraId="03FB255A" w14:textId="7EFCC54B" w:rsidR="009E6A8C" w:rsidRPr="009E6A8C" w:rsidRDefault="009E6A8C" w:rsidP="009E6A8C">
      <w:pPr>
        <w:rPr>
          <w:rFonts w:cs="Arial"/>
        </w:rPr>
      </w:pPr>
      <w:r w:rsidRPr="009E6A8C">
        <w:rPr>
          <w:rFonts w:cs="Arial"/>
        </w:rPr>
        <w:t>The purpose of this guide is to provide some suggestions for where to find:</w:t>
      </w:r>
    </w:p>
    <w:p w14:paraId="54D49E8C" w14:textId="55B931E2" w:rsidR="009E6A8C" w:rsidRPr="009E6A8C" w:rsidRDefault="009E6A8C" w:rsidP="00264CAD">
      <w:pPr>
        <w:pStyle w:val="Bullets"/>
      </w:pPr>
      <w:r w:rsidRPr="009E6A8C">
        <w:t xml:space="preserve">research, </w:t>
      </w:r>
      <w:proofErr w:type="gramStart"/>
      <w:r w:rsidRPr="009E6A8C">
        <w:t>policy</w:t>
      </w:r>
      <w:proofErr w:type="gramEnd"/>
      <w:r w:rsidRPr="009E6A8C">
        <w:t xml:space="preserve"> and practice about student equity in higher education</w:t>
      </w:r>
    </w:p>
    <w:p w14:paraId="73F81A3F" w14:textId="115D2B7E" w:rsidR="009E6A8C" w:rsidRPr="009E6A8C" w:rsidRDefault="009E6A8C" w:rsidP="00264CAD">
      <w:pPr>
        <w:pStyle w:val="Bullets"/>
      </w:pPr>
      <w:r w:rsidRPr="009E6A8C">
        <w:t xml:space="preserve">Department of Education, </w:t>
      </w:r>
      <w:proofErr w:type="gramStart"/>
      <w:r w:rsidRPr="009E6A8C">
        <w:t>Skills</w:t>
      </w:r>
      <w:proofErr w:type="gramEnd"/>
      <w:r w:rsidRPr="009E6A8C">
        <w:t xml:space="preserve"> and Employment (DESE) data about students in equity groups in higher education</w:t>
      </w:r>
      <w:r w:rsidR="00E31068">
        <w:t xml:space="preserve">, </w:t>
      </w:r>
      <w:r w:rsidRPr="009E6A8C">
        <w:t xml:space="preserve">as well as how to create graphs and comparisons using the </w:t>
      </w:r>
      <w:r w:rsidR="005225D7">
        <w:t>National Centre for Stude</w:t>
      </w:r>
      <w:r w:rsidR="00C80382">
        <w:t>n</w:t>
      </w:r>
      <w:r w:rsidR="005225D7">
        <w:t>t Equity in Higher Education (</w:t>
      </w:r>
      <w:r w:rsidRPr="009E6A8C">
        <w:t>NCSEHE</w:t>
      </w:r>
      <w:r w:rsidR="005225D7">
        <w:t>)</w:t>
      </w:r>
      <w:r w:rsidRPr="009E6A8C">
        <w:t>’s interactive site.</w:t>
      </w:r>
    </w:p>
    <w:p w14:paraId="1013CA84" w14:textId="77777777" w:rsidR="009E6A8C" w:rsidRPr="00086E44" w:rsidRDefault="009E6A8C" w:rsidP="009E6A8C">
      <w:pPr>
        <w:pStyle w:val="Heading2"/>
      </w:pPr>
      <w:r>
        <w:t xml:space="preserve">Equity research, </w:t>
      </w:r>
      <w:proofErr w:type="gramStart"/>
      <w:r>
        <w:t>policy</w:t>
      </w:r>
      <w:proofErr w:type="gramEnd"/>
      <w:r>
        <w:t xml:space="preserve"> and practice: some background information</w:t>
      </w:r>
    </w:p>
    <w:p w14:paraId="3B0E08AB" w14:textId="34B53DC7" w:rsidR="009E6A8C" w:rsidRDefault="009E6A8C" w:rsidP="009E6A8C">
      <w:r w:rsidRPr="00BC3BB8">
        <w:t>Res</w:t>
      </w:r>
      <w:r>
        <w:t xml:space="preserve">earch, </w:t>
      </w:r>
      <w:proofErr w:type="gramStart"/>
      <w:r>
        <w:t>policy</w:t>
      </w:r>
      <w:proofErr w:type="gramEnd"/>
      <w:r>
        <w:t xml:space="preserve"> and practice in regard to student equity in higher education typically focuses on the six designated equity groups, as well as equity-like groups (see the Guide, </w:t>
      </w:r>
      <w:r w:rsidR="007E5D2F">
        <w:rPr>
          <w:i/>
          <w:iCs/>
        </w:rPr>
        <w:t>E</w:t>
      </w:r>
      <w:r w:rsidRPr="00E723F7">
        <w:rPr>
          <w:i/>
          <w:iCs/>
        </w:rPr>
        <w:t xml:space="preserve">quity in </w:t>
      </w:r>
      <w:r w:rsidR="00C03AA0">
        <w:rPr>
          <w:i/>
          <w:iCs/>
        </w:rPr>
        <w:t>h</w:t>
      </w:r>
      <w:r w:rsidRPr="00E723F7">
        <w:rPr>
          <w:i/>
          <w:iCs/>
        </w:rPr>
        <w:t xml:space="preserve">igher </w:t>
      </w:r>
      <w:r w:rsidR="007E5D2F">
        <w:rPr>
          <w:i/>
          <w:iCs/>
        </w:rPr>
        <w:t>e</w:t>
      </w:r>
      <w:r w:rsidRPr="00E723F7">
        <w:rPr>
          <w:i/>
          <w:iCs/>
        </w:rPr>
        <w:t>ducation</w:t>
      </w:r>
      <w:r>
        <w:t>, for definitions). Equity programs, interventions and initiatives are often explored through the student life</w:t>
      </w:r>
      <w:r w:rsidR="005225D7">
        <w:t xml:space="preserve"> </w:t>
      </w:r>
      <w:r>
        <w:t xml:space="preserve">cycle stages identified in the Equity Initiatives Framework (Bennett et al., 2015). The stages of the student life cycle </w:t>
      </w:r>
      <w:proofErr w:type="gramStart"/>
      <w:r>
        <w:t>are:</w:t>
      </w:r>
      <w:proofErr w:type="gramEnd"/>
      <w:r>
        <w:t xml:space="preserve"> Pre-access; Access; Participation; Attainment and Transition </w:t>
      </w:r>
      <w:r w:rsidR="005225D7">
        <w:t>O</w:t>
      </w:r>
      <w:r>
        <w:t xml:space="preserve">ut. Other related topics such as student engagement, and student mental health and wellbeing are also explored in relation to equity. </w:t>
      </w:r>
    </w:p>
    <w:p w14:paraId="246F4A6F" w14:textId="77777777" w:rsidR="009E6A8C" w:rsidRDefault="009E6A8C" w:rsidP="009E6A8C">
      <w:pPr>
        <w:pStyle w:val="Heading2"/>
      </w:pPr>
      <w:r>
        <w:t xml:space="preserve">Student equity: research, </w:t>
      </w:r>
      <w:proofErr w:type="gramStart"/>
      <w:r>
        <w:t>policy</w:t>
      </w:r>
      <w:proofErr w:type="gramEnd"/>
      <w:r>
        <w:t xml:space="preserve"> and practice</w:t>
      </w:r>
    </w:p>
    <w:p w14:paraId="5C8754A5" w14:textId="280FC938" w:rsidR="009E6A8C" w:rsidRPr="009E6A8C" w:rsidRDefault="009E6A8C" w:rsidP="009E6A8C">
      <w:pPr>
        <w:rPr>
          <w:rFonts w:cs="Arial"/>
        </w:rPr>
      </w:pPr>
      <w:r>
        <w:t xml:space="preserve">There is a </w:t>
      </w:r>
      <w:r w:rsidR="005225D7">
        <w:t xml:space="preserve">lot </w:t>
      </w:r>
      <w:r>
        <w:t xml:space="preserve">of information out there in the world of research, </w:t>
      </w:r>
      <w:proofErr w:type="gramStart"/>
      <w:r>
        <w:t>policy</w:t>
      </w:r>
      <w:proofErr w:type="gramEnd"/>
      <w:r>
        <w:t xml:space="preserve"> and practice in regard to student equity. Where and how can you find it? University students and staff have access to their institutions’ libraries and the invaluable research databases and journals that their universities subscribe to. If you don’t have an affiliation with a university, unless the journal is an “Open Access Journal”, research (in the form of peer-reviewed journal articles) can be difficult to access. However, research and practice reports, and policy documents are often </w:t>
      </w:r>
      <w:r w:rsidRPr="009E6A8C">
        <w:rPr>
          <w:rFonts w:cs="Arial"/>
        </w:rPr>
        <w:t>publicly available. Here are some places to explore:</w:t>
      </w:r>
    </w:p>
    <w:p w14:paraId="4EC7335A" w14:textId="77777777" w:rsidR="009E6A8C" w:rsidRPr="009E6A8C" w:rsidRDefault="009E6A8C" w:rsidP="00A551D8">
      <w:pPr>
        <w:pStyle w:val="Bullets"/>
      </w:pPr>
      <w:r w:rsidRPr="009E6A8C">
        <w:t xml:space="preserve">The </w:t>
      </w:r>
      <w:hyperlink r:id="rId8" w:history="1">
        <w:r w:rsidRPr="009E6A8C">
          <w:rPr>
            <w:rStyle w:val="Hyperlink"/>
            <w:rFonts w:cs="Arial"/>
          </w:rPr>
          <w:t>NCSEHE</w:t>
        </w:r>
      </w:hyperlink>
      <w:r w:rsidRPr="009E6A8C">
        <w:t xml:space="preserve"> website houses NCSEHE-funded research by equity researchers and practitioners across Australia; it also has links to other equity-related reports, journal articles and news:</w:t>
      </w:r>
    </w:p>
    <w:p w14:paraId="4B09F5BC" w14:textId="01AA9783" w:rsidR="009E6A8C" w:rsidRPr="009E6A8C" w:rsidRDefault="009E6A8C" w:rsidP="00A551D8">
      <w:pPr>
        <w:pStyle w:val="Bullets"/>
        <w:numPr>
          <w:ilvl w:val="1"/>
          <w:numId w:val="2"/>
        </w:numPr>
      </w:pPr>
      <w:r w:rsidRPr="009E6A8C">
        <w:t>In the menu bar, hover over “Publications” then select “</w:t>
      </w:r>
      <w:hyperlink r:id="rId9" w:history="1">
        <w:r w:rsidRPr="009E6A8C">
          <w:rPr>
            <w:rStyle w:val="Hyperlink"/>
            <w:rFonts w:cs="Arial"/>
          </w:rPr>
          <w:t>Research Reports</w:t>
        </w:r>
      </w:hyperlink>
      <w:r w:rsidRPr="009E6A8C">
        <w:t>”, “</w:t>
      </w:r>
      <w:hyperlink r:id="rId10" w:history="1">
        <w:r w:rsidR="00636DA0">
          <w:rPr>
            <w:rStyle w:val="Hyperlink"/>
            <w:rFonts w:cs="Arial"/>
          </w:rPr>
          <w:t>Journal Articles</w:t>
        </w:r>
      </w:hyperlink>
      <w:r w:rsidR="00636DA0">
        <w:rPr>
          <w:rStyle w:val="Hyperlink"/>
          <w:rFonts w:cs="Arial"/>
        </w:rPr>
        <w:t>”</w:t>
      </w:r>
      <w:r w:rsidRPr="009E6A8C">
        <w:t xml:space="preserve"> and more from the drop-down menu.</w:t>
      </w:r>
    </w:p>
    <w:p w14:paraId="582518AB" w14:textId="77777777" w:rsidR="009E6A8C" w:rsidRPr="009E6A8C" w:rsidRDefault="009E6A8C" w:rsidP="00A551D8">
      <w:pPr>
        <w:pStyle w:val="Bullets"/>
        <w:numPr>
          <w:ilvl w:val="1"/>
          <w:numId w:val="2"/>
        </w:numPr>
      </w:pPr>
      <w:r w:rsidRPr="009E6A8C">
        <w:t xml:space="preserve">Alternatively, go directly to the </w:t>
      </w:r>
      <w:hyperlink r:id="rId11" w:history="1">
        <w:r w:rsidRPr="009E6A8C">
          <w:rPr>
            <w:rStyle w:val="Hyperlink"/>
            <w:rFonts w:cs="Arial"/>
          </w:rPr>
          <w:t>NCSEHE Research Database</w:t>
        </w:r>
      </w:hyperlink>
      <w:r w:rsidRPr="009E6A8C">
        <w:t xml:space="preserve"> where you can use filters to narrow your search.</w:t>
      </w:r>
    </w:p>
    <w:p w14:paraId="22303D20" w14:textId="77777777" w:rsidR="009E6A8C" w:rsidRPr="009E6A8C" w:rsidRDefault="009E6A8C" w:rsidP="00A551D8">
      <w:pPr>
        <w:pStyle w:val="Bullets"/>
        <w:numPr>
          <w:ilvl w:val="1"/>
          <w:numId w:val="2"/>
        </w:numPr>
      </w:pPr>
      <w:r w:rsidRPr="009E6A8C">
        <w:t xml:space="preserve">The NCSEHE </w:t>
      </w:r>
      <w:hyperlink r:id="rId12" w:history="1">
        <w:r w:rsidRPr="009E6A8C">
          <w:rPr>
            <w:rStyle w:val="Hyperlink"/>
            <w:rFonts w:cs="Arial"/>
          </w:rPr>
          <w:t>Building Legacy and Capacity</w:t>
        </w:r>
      </w:hyperlink>
      <w:r w:rsidRPr="009E6A8C">
        <w:t xml:space="preserve"> reports include summaries of numerous research projects on student equity topics.</w:t>
      </w:r>
    </w:p>
    <w:p w14:paraId="2FA5C8C5" w14:textId="77777777" w:rsidR="009E6A8C" w:rsidRPr="009E6A8C" w:rsidRDefault="009E6A8C" w:rsidP="00A551D8">
      <w:pPr>
        <w:pStyle w:val="Bullets"/>
      </w:pPr>
      <w:r w:rsidRPr="009E6A8C">
        <w:t>The University of Newcastle’s Centre of Excellence for Equity in Higher Education (</w:t>
      </w:r>
      <w:hyperlink r:id="rId13" w:history="1">
        <w:r w:rsidRPr="009E6A8C">
          <w:rPr>
            <w:rStyle w:val="Hyperlink"/>
            <w:rFonts w:cs="Arial"/>
          </w:rPr>
          <w:t>CEEHE</w:t>
        </w:r>
      </w:hyperlink>
      <w:r w:rsidRPr="009E6A8C">
        <w:t xml:space="preserve">) team has </w:t>
      </w:r>
      <w:hyperlink r:id="rId14" w:history="1">
        <w:r w:rsidRPr="009E6A8C">
          <w:rPr>
            <w:rStyle w:val="Hyperlink"/>
            <w:rFonts w:cs="Arial"/>
          </w:rPr>
          <w:t>publications</w:t>
        </w:r>
      </w:hyperlink>
      <w:r w:rsidRPr="009E6A8C">
        <w:t xml:space="preserve"> available on their website.</w:t>
      </w:r>
    </w:p>
    <w:p w14:paraId="061406BC" w14:textId="30691596" w:rsidR="009E6A8C" w:rsidRPr="009E6A8C" w:rsidRDefault="008562CC" w:rsidP="00A551D8">
      <w:pPr>
        <w:pStyle w:val="Bullets"/>
      </w:pPr>
      <w:hyperlink r:id="rId15" w:history="1">
        <w:r w:rsidR="009E6A8C" w:rsidRPr="009E6A8C">
          <w:rPr>
            <w:rStyle w:val="Hyperlink"/>
            <w:rFonts w:cs="Arial"/>
          </w:rPr>
          <w:t>QILT</w:t>
        </w:r>
      </w:hyperlink>
      <w:r w:rsidR="009E6A8C" w:rsidRPr="009E6A8C">
        <w:t xml:space="preserve">’s national annual </w:t>
      </w:r>
      <w:hyperlink r:id="rId16" w:history="1">
        <w:r w:rsidR="009E6A8C" w:rsidRPr="009E6A8C">
          <w:rPr>
            <w:rStyle w:val="Hyperlink"/>
            <w:rFonts w:cs="Arial"/>
          </w:rPr>
          <w:t>Student Experience Survey</w:t>
        </w:r>
      </w:hyperlink>
      <w:r w:rsidR="009E6A8C" w:rsidRPr="009E6A8C">
        <w:t xml:space="preserve"> includes breakdowns by demographic groups including location (</w:t>
      </w:r>
      <w:proofErr w:type="gramStart"/>
      <w:r w:rsidR="009E6A8C" w:rsidRPr="009E6A8C">
        <w:t>e.g.</w:t>
      </w:r>
      <w:proofErr w:type="gramEnd"/>
      <w:r w:rsidR="009E6A8C" w:rsidRPr="009E6A8C">
        <w:t xml:space="preserve"> regional/remote), socioeconomic status, study mode and more.</w:t>
      </w:r>
    </w:p>
    <w:p w14:paraId="4953139E" w14:textId="77777777" w:rsidR="009E6A8C" w:rsidRPr="009E6A8C" w:rsidRDefault="009E6A8C" w:rsidP="00A551D8">
      <w:pPr>
        <w:pStyle w:val="Bullets"/>
      </w:pPr>
      <w:r w:rsidRPr="009E6A8C">
        <w:t xml:space="preserve">Victoria University’s </w:t>
      </w:r>
      <w:hyperlink r:id="rId17" w:history="1">
        <w:r w:rsidRPr="009E6A8C">
          <w:rPr>
            <w:rStyle w:val="Hyperlink"/>
            <w:rFonts w:cs="Arial"/>
          </w:rPr>
          <w:t>Mitchell Institute</w:t>
        </w:r>
      </w:hyperlink>
      <w:r w:rsidRPr="009E6A8C">
        <w:t xml:space="preserve"> has an education focus, as does the </w:t>
      </w:r>
      <w:hyperlink r:id="rId18" w:history="1">
        <w:r w:rsidRPr="009E6A8C">
          <w:rPr>
            <w:rStyle w:val="Hyperlink"/>
            <w:rFonts w:cs="Arial"/>
          </w:rPr>
          <w:t>Grattan Institute</w:t>
        </w:r>
      </w:hyperlink>
      <w:r w:rsidRPr="009E6A8C">
        <w:t xml:space="preserve"> within its broader scope. </w:t>
      </w:r>
    </w:p>
    <w:p w14:paraId="13246C84" w14:textId="77777777" w:rsidR="009E6A8C" w:rsidRDefault="009E6A8C" w:rsidP="009E6A8C">
      <w:pPr>
        <w:pStyle w:val="ListParagraph"/>
        <w:ind w:left="774"/>
      </w:pPr>
    </w:p>
    <w:p w14:paraId="4B01A048" w14:textId="1C3C0B45" w:rsidR="009E6A8C" w:rsidRDefault="009E6A8C" w:rsidP="009E6A8C">
      <w:r>
        <w:t xml:space="preserve">In terms of advocacy, check out– the </w:t>
      </w:r>
      <w:r w:rsidRPr="0026780A">
        <w:rPr>
          <w:lang w:eastAsia="en-GB"/>
        </w:rPr>
        <w:t>Equity Practitioners in Higher Education Australasia (</w:t>
      </w:r>
      <w:hyperlink r:id="rId19" w:history="1">
        <w:r w:rsidR="00636DA0" w:rsidRPr="002669E5">
          <w:rPr>
            <w:rStyle w:val="Hyperlink"/>
          </w:rPr>
          <w:t>EPHEA</w:t>
        </w:r>
      </w:hyperlink>
      <w:r w:rsidRPr="0026780A">
        <w:rPr>
          <w:lang w:eastAsia="en-GB"/>
        </w:rPr>
        <w:t>) professional</w:t>
      </w:r>
      <w:r>
        <w:rPr>
          <w:lang w:eastAsia="en-GB"/>
        </w:rPr>
        <w:t xml:space="preserve"> body. The </w:t>
      </w:r>
      <w:hyperlink r:id="rId20" w:history="1">
        <w:r w:rsidRPr="002669E5">
          <w:rPr>
            <w:rStyle w:val="Hyperlink"/>
            <w:lang w:eastAsia="en-GB"/>
          </w:rPr>
          <w:t>Centre for Social Justice</w:t>
        </w:r>
      </w:hyperlink>
      <w:r>
        <w:rPr>
          <w:lang w:eastAsia="en-GB"/>
        </w:rPr>
        <w:t xml:space="preserve"> at UTS holds excellent panels on equity-related topics. – </w:t>
      </w:r>
      <w:r w:rsidR="00636DA0">
        <w:rPr>
          <w:lang w:eastAsia="en-GB"/>
        </w:rPr>
        <w:t>T</w:t>
      </w:r>
      <w:r>
        <w:rPr>
          <w:lang w:eastAsia="en-GB"/>
        </w:rPr>
        <w:t xml:space="preserve">he </w:t>
      </w:r>
      <w:r w:rsidRPr="0026780A">
        <w:t>Society for the Provision of Education in Rural Australia</w:t>
      </w:r>
      <w:r w:rsidR="00636DA0">
        <w:t xml:space="preserve"> (</w:t>
      </w:r>
      <w:hyperlink r:id="rId21" w:history="1">
        <w:r w:rsidR="00636DA0" w:rsidRPr="002669E5">
          <w:rPr>
            <w:rStyle w:val="Hyperlink"/>
            <w:lang w:eastAsia="en-GB"/>
          </w:rPr>
          <w:t>SPERA</w:t>
        </w:r>
      </w:hyperlink>
      <w:r w:rsidR="00636DA0">
        <w:rPr>
          <w:rStyle w:val="Hyperlink"/>
          <w:lang w:eastAsia="en-GB"/>
        </w:rPr>
        <w:t>)</w:t>
      </w:r>
      <w:r>
        <w:t xml:space="preserve"> focuses on </w:t>
      </w:r>
      <w:r w:rsidRPr="0026780A">
        <w:t>educational opportunities for rural communities in Australia</w:t>
      </w:r>
      <w:r>
        <w:t>.</w:t>
      </w:r>
    </w:p>
    <w:p w14:paraId="6F1F3FC0" w14:textId="3D14EFB4" w:rsidR="009E6A8C" w:rsidRDefault="009E6A8C" w:rsidP="009E6A8C">
      <w:pPr>
        <w:rPr>
          <w:lang w:eastAsia="en-GB"/>
        </w:rPr>
      </w:pPr>
      <w:r>
        <w:t xml:space="preserve">You could join the </w:t>
      </w:r>
      <w:hyperlink r:id="rId22" w:history="1">
        <w:r w:rsidRPr="00472ED5">
          <w:rPr>
            <w:rStyle w:val="Hyperlink"/>
          </w:rPr>
          <w:t>NCSEHE</w:t>
        </w:r>
      </w:hyperlink>
      <w:r>
        <w:t xml:space="preserve"> mailing list and</w:t>
      </w:r>
      <w:r w:rsidR="00636DA0">
        <w:t>/or</w:t>
      </w:r>
      <w:r>
        <w:t xml:space="preserve"> become a </w:t>
      </w:r>
      <w:hyperlink r:id="rId23" w:history="1">
        <w:r w:rsidRPr="00472ED5">
          <w:rPr>
            <w:rStyle w:val="Hyperlink"/>
          </w:rPr>
          <w:t>member of EPHEA</w:t>
        </w:r>
      </w:hyperlink>
      <w:r>
        <w:t xml:space="preserve"> to keep up</w:t>
      </w:r>
      <w:r w:rsidR="00636DA0">
        <w:t xml:space="preserve"> </w:t>
      </w:r>
      <w:r>
        <w:t>to</w:t>
      </w:r>
      <w:r w:rsidR="00636DA0">
        <w:t xml:space="preserve"> </w:t>
      </w:r>
      <w:r>
        <w:t>date with student</w:t>
      </w:r>
      <w:r w:rsidR="0071375C">
        <w:t xml:space="preserve"> </w:t>
      </w:r>
      <w:r>
        <w:t>equity-related news, practice, research and professional learning opportunities.</w:t>
      </w:r>
    </w:p>
    <w:p w14:paraId="1CDDA06A" w14:textId="77777777" w:rsidR="009E6A8C" w:rsidRDefault="009E6A8C" w:rsidP="009E6A8C">
      <w:pPr>
        <w:pStyle w:val="Heading2"/>
      </w:pPr>
      <w:r>
        <w:t>Student equity data</w:t>
      </w:r>
    </w:p>
    <w:p w14:paraId="5C4E10C9" w14:textId="551E9776" w:rsidR="009E6A8C" w:rsidRDefault="009E6A8C" w:rsidP="009E6A8C">
      <w:r>
        <w:t>As far as data are concerned, the main area of interest for you is probably the students enrolled in your unit</w:t>
      </w:r>
      <w:r w:rsidR="003D2A26">
        <w:t xml:space="preserve">, </w:t>
      </w:r>
      <w:r>
        <w:t>course</w:t>
      </w:r>
      <w:r w:rsidR="003D2A26">
        <w:t xml:space="preserve">, </w:t>
      </w:r>
      <w:proofErr w:type="gramStart"/>
      <w:r w:rsidR="003D2A26">
        <w:t>faculty</w:t>
      </w:r>
      <w:proofErr w:type="gramEnd"/>
      <w:r w:rsidR="003D2A26">
        <w:t xml:space="preserve"> </w:t>
      </w:r>
      <w:r>
        <w:t>or centre. However, if you’d like to get a national picture</w:t>
      </w:r>
      <w:r w:rsidR="0071375C">
        <w:t>—</w:t>
      </w:r>
      <w:r>
        <w:t xml:space="preserve">for example, “regional and remote” or “low </w:t>
      </w:r>
      <w:r w:rsidR="0071375C">
        <w:t>socioeconomic status (</w:t>
      </w:r>
      <w:r>
        <w:t>SES</w:t>
      </w:r>
      <w:r w:rsidR="0071375C">
        <w:t>)</w:t>
      </w:r>
      <w:r>
        <w:t>” students’ participation in higher education across the country</w:t>
      </w:r>
      <w:r w:rsidR="0071375C">
        <w:t>—</w:t>
      </w:r>
      <w:r>
        <w:t>here are a couple of suggestions:</w:t>
      </w:r>
    </w:p>
    <w:p w14:paraId="6871D209" w14:textId="78EB17BF" w:rsidR="009E6A8C" w:rsidRDefault="009E6A8C" w:rsidP="009E6A8C">
      <w:r>
        <w:t xml:space="preserve">The DESE Analysis and Data Division collect and disseminate </w:t>
      </w:r>
      <w:hyperlink r:id="rId24" w:history="1">
        <w:r w:rsidRPr="0067751B">
          <w:rPr>
            <w:rStyle w:val="Hyperlink"/>
          </w:rPr>
          <w:t>statistics about higher education</w:t>
        </w:r>
      </w:hyperlink>
      <w:r>
        <w:t xml:space="preserve">. In particular, the </w:t>
      </w:r>
      <w:hyperlink r:id="rId25" w:history="1">
        <w:r w:rsidRPr="00680890">
          <w:rPr>
            <w:rStyle w:val="Hyperlink"/>
          </w:rPr>
          <w:t>DESE Student Statistics</w:t>
        </w:r>
      </w:hyperlink>
      <w:r>
        <w:t xml:space="preserve"> webpage is worth visiting: DESE’s data team can also assist with the provision of student data for specialised requests.  </w:t>
      </w:r>
    </w:p>
    <w:p w14:paraId="71939AED" w14:textId="44DB9476" w:rsidR="009E6A8C" w:rsidRDefault="009E6A8C" w:rsidP="009E6A8C">
      <w:r>
        <w:t xml:space="preserve">Since 2014, Paul Koshy (NCSEHE) has prepared annual </w:t>
      </w:r>
      <w:hyperlink r:id="rId26" w:history="1">
        <w:r w:rsidRPr="00E92463">
          <w:rPr>
            <w:rStyle w:val="Hyperlink"/>
          </w:rPr>
          <w:t>Briefing Notes</w:t>
        </w:r>
      </w:hyperlink>
      <w:r>
        <w:t xml:space="preserve"> about the </w:t>
      </w:r>
      <w:hyperlink r:id="rId27" w:history="1">
        <w:r w:rsidRPr="0067751B">
          <w:rPr>
            <w:rStyle w:val="Hyperlink"/>
          </w:rPr>
          <w:t>DESE Student Data</w:t>
        </w:r>
      </w:hyperlink>
      <w:r>
        <w:t>. These publications provide an overview of student participation, such as identifying growth (or not) in equity</w:t>
      </w:r>
      <w:r w:rsidR="00524EEC">
        <w:t xml:space="preserve"> </w:t>
      </w:r>
      <w:r>
        <w:t xml:space="preserve">group participation over </w:t>
      </w:r>
      <w:r w:rsidR="0071375C">
        <w:t>six</w:t>
      </w:r>
      <w:r>
        <w:t>-year periods, and a snapshot of how well represented equity</w:t>
      </w:r>
      <w:r w:rsidR="00524EEC">
        <w:t xml:space="preserve"> </w:t>
      </w:r>
      <w:r>
        <w:t xml:space="preserve">group students are in Australian higher education. In more recent years, the NCSEHE has provided this equity data in an </w:t>
      </w:r>
      <w:hyperlink r:id="rId28" w:history="1">
        <w:r w:rsidRPr="00E92463">
          <w:rPr>
            <w:rStyle w:val="Hyperlink"/>
          </w:rPr>
          <w:t>interactive format</w:t>
        </w:r>
      </w:hyperlink>
      <w:r>
        <w:t xml:space="preserve"> as well, which allows us to look at specific equity groups and compare institutions. </w:t>
      </w:r>
    </w:p>
    <w:p w14:paraId="46AB795F" w14:textId="77777777" w:rsidR="009E6A8C" w:rsidRDefault="009E6A8C" w:rsidP="009E6A8C">
      <w:r>
        <w:t xml:space="preserve">Let’s have a look at the national data on this </w:t>
      </w:r>
      <w:hyperlink r:id="rId29" w:history="1">
        <w:r w:rsidRPr="00B67410">
          <w:rPr>
            <w:rStyle w:val="Hyperlink"/>
          </w:rPr>
          <w:t>interactive site</w:t>
        </w:r>
      </w:hyperlink>
      <w:r>
        <w:t xml:space="preserve">! </w:t>
      </w:r>
    </w:p>
    <w:p w14:paraId="3B5C1458" w14:textId="771C217A" w:rsidR="009E6A8C" w:rsidRDefault="009E6A8C" w:rsidP="00A551D8">
      <w:r w:rsidRPr="00A551D8">
        <w:rPr>
          <w:b/>
          <w:bCs/>
        </w:rPr>
        <w:t xml:space="preserve">Step 1: </w:t>
      </w:r>
      <w:r>
        <w:t xml:space="preserve">Go to </w:t>
      </w:r>
      <w:hyperlink r:id="rId30" w:history="1">
        <w:r w:rsidRPr="00B67410">
          <w:rPr>
            <w:rStyle w:val="Hyperlink"/>
          </w:rPr>
          <w:t>the interactive site for “</w:t>
        </w:r>
        <w:r w:rsidR="00524EEC">
          <w:rPr>
            <w:rStyle w:val="Hyperlink"/>
          </w:rPr>
          <w:t>N</w:t>
        </w:r>
        <w:r w:rsidRPr="00B67410">
          <w:rPr>
            <w:rStyle w:val="Hyperlink"/>
          </w:rPr>
          <w:t xml:space="preserve">ational </w:t>
        </w:r>
        <w:r w:rsidR="00524EEC">
          <w:rPr>
            <w:rStyle w:val="Hyperlink"/>
          </w:rPr>
          <w:t>D</w:t>
        </w:r>
        <w:r w:rsidRPr="00B67410">
          <w:rPr>
            <w:rStyle w:val="Hyperlink"/>
          </w:rPr>
          <w:t>ata”</w:t>
        </w:r>
      </w:hyperlink>
      <w:r>
        <w:t xml:space="preserve">.  </w:t>
      </w:r>
    </w:p>
    <w:p w14:paraId="56853DD9" w14:textId="23290B66" w:rsidR="009E6A8C" w:rsidRPr="009E6A8C" w:rsidRDefault="009E6A8C" w:rsidP="00A551D8">
      <w:pPr>
        <w:rPr>
          <w:rFonts w:cs="Arial"/>
        </w:rPr>
      </w:pPr>
      <w:r w:rsidRPr="00A551D8">
        <w:rPr>
          <w:b/>
          <w:bCs/>
        </w:rPr>
        <w:t>Step 2:</w:t>
      </w:r>
      <w:r>
        <w:t xml:space="preserve"> </w:t>
      </w:r>
      <w:r w:rsidRPr="009E6A8C">
        <w:rPr>
          <w:rFonts w:cs="Arial"/>
        </w:rPr>
        <w:t xml:space="preserve">Let’s select the following options:  </w:t>
      </w:r>
    </w:p>
    <w:p w14:paraId="50A28B6B" w14:textId="2823C355" w:rsidR="009E6A8C" w:rsidRPr="009E6A8C" w:rsidRDefault="00A551D8" w:rsidP="00264CAD">
      <w:pPr>
        <w:pStyle w:val="Bullets"/>
      </w:pPr>
      <w:r>
        <w:rPr>
          <w:noProof/>
          <w:lang w:eastAsia="en-AU"/>
        </w:rPr>
        <w:drawing>
          <wp:anchor distT="0" distB="0" distL="114300" distR="114300" simplePos="0" relativeHeight="251658240" behindDoc="0" locked="0" layoutInCell="1" allowOverlap="1" wp14:anchorId="4C57CDA2" wp14:editId="2AC5374E">
            <wp:simplePos x="0" y="0"/>
            <wp:positionH relativeFrom="column">
              <wp:posOffset>2247900</wp:posOffset>
            </wp:positionH>
            <wp:positionV relativeFrom="paragraph">
              <wp:posOffset>22486</wp:posOffset>
            </wp:positionV>
            <wp:extent cx="3506470" cy="2777490"/>
            <wp:effectExtent l="0" t="0" r="0" b="3810"/>
            <wp:wrapSquare wrapText="bothSides"/>
            <wp:docPr id="2" name="Picture 2" descr="Figure 1: Participation (All Students) Enrolments: Growth of All Equity Groups (2013-2019)&#10;&#10;A bar chart with different colour bars for each equity group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articipation (All Students) Enrolments: Growth of All Equity Groups (2013-2019)&#10;&#10;A bar chart with different colour bars for each equity group categor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6470" cy="2777490"/>
                    </a:xfrm>
                    <a:prstGeom prst="rect">
                      <a:avLst/>
                    </a:prstGeom>
                  </pic:spPr>
                </pic:pic>
              </a:graphicData>
            </a:graphic>
            <wp14:sizeRelH relativeFrom="page">
              <wp14:pctWidth>0</wp14:pctWidth>
            </wp14:sizeRelH>
            <wp14:sizeRelV relativeFrom="page">
              <wp14:pctHeight>0</wp14:pctHeight>
            </wp14:sizeRelV>
          </wp:anchor>
        </w:drawing>
      </w:r>
      <w:r w:rsidR="009E6A8C" w:rsidRPr="009E6A8C">
        <w:rPr>
          <w:b/>
          <w:bCs/>
        </w:rPr>
        <w:t>Domain</w:t>
      </w:r>
      <w:r w:rsidR="009E6A8C" w:rsidRPr="009E6A8C">
        <w:t>: Participation</w:t>
      </w:r>
    </w:p>
    <w:p w14:paraId="06CB5CB2" w14:textId="2B16E389" w:rsidR="009E6A8C" w:rsidRPr="009E6A8C" w:rsidRDefault="009E6A8C" w:rsidP="00264CAD">
      <w:pPr>
        <w:pStyle w:val="Bullets"/>
      </w:pPr>
      <w:r w:rsidRPr="009E6A8C">
        <w:rPr>
          <w:b/>
          <w:bCs/>
        </w:rPr>
        <w:t>Indicator</w:t>
      </w:r>
      <w:r w:rsidRPr="009E6A8C">
        <w:t>: Enrolments</w:t>
      </w:r>
    </w:p>
    <w:p w14:paraId="42AFBD74" w14:textId="77777777" w:rsidR="009E6A8C" w:rsidRPr="009E6A8C" w:rsidRDefault="009E6A8C" w:rsidP="00264CAD">
      <w:pPr>
        <w:pStyle w:val="Bullets"/>
      </w:pPr>
      <w:r w:rsidRPr="009E6A8C">
        <w:rPr>
          <w:b/>
          <w:bCs/>
        </w:rPr>
        <w:t>Equity Group</w:t>
      </w:r>
      <w:r w:rsidRPr="009E6A8C">
        <w:t>: All Groups</w:t>
      </w:r>
    </w:p>
    <w:p w14:paraId="6B03EC18" w14:textId="78020B55" w:rsidR="009E6A8C" w:rsidRPr="009E6A8C" w:rsidRDefault="009E6A8C" w:rsidP="00264CAD">
      <w:pPr>
        <w:pStyle w:val="Bullets"/>
      </w:pPr>
      <w:r w:rsidRPr="009E6A8C">
        <w:rPr>
          <w:b/>
          <w:bCs/>
        </w:rPr>
        <w:t>Focus</w:t>
      </w:r>
      <w:r w:rsidRPr="009E6A8C">
        <w:t xml:space="preserve">: National </w:t>
      </w:r>
      <w:r w:rsidR="00524EEC">
        <w:t>D</w:t>
      </w:r>
      <w:r w:rsidRPr="009E6A8C">
        <w:t>ashboard</w:t>
      </w:r>
    </w:p>
    <w:p w14:paraId="10855693" w14:textId="480E28ED" w:rsidR="009E6A8C" w:rsidRPr="009E6A8C" w:rsidRDefault="000A7930" w:rsidP="00264CAD">
      <w:pPr>
        <w:pStyle w:val="Bullets"/>
      </w:pPr>
      <w:r>
        <w:t>I</w:t>
      </w:r>
      <w:r w:rsidR="009E6A8C" w:rsidRPr="009E6A8C">
        <w:t>n the chart: select Growth</w:t>
      </w:r>
    </w:p>
    <w:p w14:paraId="6656F0A2" w14:textId="41DE3610" w:rsidR="009E6A8C" w:rsidRDefault="009E6A8C" w:rsidP="009E6A8C">
      <w:r>
        <w:t xml:space="preserve">Figure 1 </w:t>
      </w:r>
      <w:r w:rsidR="000A7930">
        <w:t xml:space="preserve">shows </w:t>
      </w:r>
      <w:r>
        <w:t xml:space="preserve">what appears </w:t>
      </w:r>
      <w:proofErr w:type="gramStart"/>
      <w:r>
        <w:t>as a result of</w:t>
      </w:r>
      <w:proofErr w:type="gramEnd"/>
      <w:r>
        <w:t xml:space="preserve"> this combination. </w:t>
      </w:r>
    </w:p>
    <w:p w14:paraId="3DEBDA79" w14:textId="77777777" w:rsidR="00A551D8" w:rsidRDefault="00A551D8" w:rsidP="009E6A8C"/>
    <w:p w14:paraId="18799290" w14:textId="64AE13DC" w:rsidR="009E6A8C" w:rsidRDefault="009E6A8C" w:rsidP="00A551D8">
      <w:pPr>
        <w:jc w:val="right"/>
      </w:pPr>
    </w:p>
    <w:p w14:paraId="4BE4C3F0" w14:textId="77777777" w:rsidR="0030261A" w:rsidRDefault="0030261A" w:rsidP="0030261A">
      <w:pPr>
        <w:pStyle w:val="FigureTitles"/>
        <w:jc w:val="right"/>
      </w:pPr>
    </w:p>
    <w:p w14:paraId="325866BC" w14:textId="77777777" w:rsidR="0030261A" w:rsidRDefault="0030261A" w:rsidP="0030261A">
      <w:pPr>
        <w:pStyle w:val="FigureTitles"/>
        <w:jc w:val="right"/>
      </w:pPr>
    </w:p>
    <w:p w14:paraId="0AF869B2" w14:textId="223DA7BB" w:rsidR="009E6A8C" w:rsidRPr="00264CAD" w:rsidRDefault="009E6A8C" w:rsidP="0030261A">
      <w:pPr>
        <w:pStyle w:val="FigureTitles"/>
        <w:jc w:val="right"/>
      </w:pPr>
      <w:r w:rsidRPr="00264CAD">
        <w:t>Figure 1: Participation (All Students) Enrolments: Growth of All Equity Groups (2013-2019)</w:t>
      </w:r>
    </w:p>
    <w:p w14:paraId="28A2D999" w14:textId="44572784" w:rsidR="009E6A8C" w:rsidRPr="00380143" w:rsidRDefault="009E6A8C" w:rsidP="009E6A8C">
      <w:pPr>
        <w:rPr>
          <w:rFonts w:cs="Arial"/>
        </w:rPr>
      </w:pPr>
      <w:r>
        <w:t xml:space="preserve">Let’s </w:t>
      </w:r>
      <w:r w:rsidRPr="00380143">
        <w:rPr>
          <w:rFonts w:cs="Arial"/>
        </w:rPr>
        <w:t>try a different combination this time and select the following:</w:t>
      </w:r>
    </w:p>
    <w:p w14:paraId="0A82953B" w14:textId="5E93BEA1" w:rsidR="009E6A8C" w:rsidRPr="00380143" w:rsidRDefault="0030261A" w:rsidP="0030261A">
      <w:pPr>
        <w:pStyle w:val="Bullets"/>
      </w:pPr>
      <w:r>
        <w:rPr>
          <w:noProof/>
          <w:lang w:eastAsia="en-AU"/>
        </w:rPr>
        <w:drawing>
          <wp:anchor distT="0" distB="0" distL="114300" distR="114300" simplePos="0" relativeHeight="251659264" behindDoc="0" locked="0" layoutInCell="1" allowOverlap="1" wp14:anchorId="32D1F446" wp14:editId="0F18F1BA">
            <wp:simplePos x="0" y="0"/>
            <wp:positionH relativeFrom="column">
              <wp:posOffset>2253615</wp:posOffset>
            </wp:positionH>
            <wp:positionV relativeFrom="paragraph">
              <wp:posOffset>43343</wp:posOffset>
            </wp:positionV>
            <wp:extent cx="3488055" cy="2743200"/>
            <wp:effectExtent l="0" t="0" r="0" b="0"/>
            <wp:wrapSquare wrapText="bothSides"/>
            <wp:docPr id="5" name="Picture 5" descr="Figure 2: Participation (All Students) Enrolments: Percentage (%) (2013-2019)&#10;&#10;A line graph with different colour lines for each equity group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Participation (All Students) Enrolments: Percentage (%) (2013-2019)&#10;&#10;A line graph with different colour lines for each equity group categor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8055" cy="2743200"/>
                    </a:xfrm>
                    <a:prstGeom prst="rect">
                      <a:avLst/>
                    </a:prstGeom>
                  </pic:spPr>
                </pic:pic>
              </a:graphicData>
            </a:graphic>
            <wp14:sizeRelH relativeFrom="page">
              <wp14:pctWidth>0</wp14:pctWidth>
            </wp14:sizeRelH>
            <wp14:sizeRelV relativeFrom="page">
              <wp14:pctHeight>0</wp14:pctHeight>
            </wp14:sizeRelV>
          </wp:anchor>
        </w:drawing>
      </w:r>
      <w:r w:rsidR="009E6A8C" w:rsidRPr="00380143">
        <w:rPr>
          <w:b/>
          <w:bCs/>
        </w:rPr>
        <w:t>Domain</w:t>
      </w:r>
      <w:r w:rsidR="009E6A8C" w:rsidRPr="00380143">
        <w:t>: Participation</w:t>
      </w:r>
    </w:p>
    <w:p w14:paraId="4EA3B952" w14:textId="3E04AEFC" w:rsidR="009E6A8C" w:rsidRPr="00380143" w:rsidRDefault="009E6A8C" w:rsidP="0030261A">
      <w:pPr>
        <w:pStyle w:val="Bullets"/>
      </w:pPr>
      <w:r w:rsidRPr="00380143">
        <w:rPr>
          <w:b/>
          <w:bCs/>
        </w:rPr>
        <w:t>Indicator</w:t>
      </w:r>
      <w:r w:rsidRPr="00380143">
        <w:t>: Share/Rate</w:t>
      </w:r>
    </w:p>
    <w:p w14:paraId="7A09642A" w14:textId="1DD3169E" w:rsidR="009E6A8C" w:rsidRPr="00380143" w:rsidRDefault="009E6A8C" w:rsidP="0030261A">
      <w:pPr>
        <w:pStyle w:val="Bullets"/>
      </w:pPr>
      <w:r w:rsidRPr="00380143">
        <w:rPr>
          <w:b/>
          <w:bCs/>
        </w:rPr>
        <w:t>Equity Group</w:t>
      </w:r>
      <w:r w:rsidRPr="00380143">
        <w:t>: All Groups</w:t>
      </w:r>
    </w:p>
    <w:p w14:paraId="5554963E" w14:textId="50BDE5EE" w:rsidR="009E6A8C" w:rsidRPr="00380143" w:rsidRDefault="009E6A8C" w:rsidP="0030261A">
      <w:pPr>
        <w:pStyle w:val="Bullets"/>
      </w:pPr>
      <w:r w:rsidRPr="00380143">
        <w:rPr>
          <w:b/>
          <w:bCs/>
        </w:rPr>
        <w:t>Focus</w:t>
      </w:r>
      <w:r w:rsidRPr="00380143">
        <w:t xml:space="preserve">: National </w:t>
      </w:r>
      <w:r w:rsidR="000A7930">
        <w:t>D</w:t>
      </w:r>
      <w:r w:rsidRPr="00380143">
        <w:t>ashboard</w:t>
      </w:r>
    </w:p>
    <w:p w14:paraId="2914B373" w14:textId="53D991F4" w:rsidR="009E6A8C" w:rsidRPr="00380143" w:rsidRDefault="000A7930" w:rsidP="0030261A">
      <w:pPr>
        <w:pStyle w:val="Bullets"/>
      </w:pPr>
      <w:r>
        <w:t>I</w:t>
      </w:r>
      <w:r w:rsidR="009E6A8C" w:rsidRPr="00380143">
        <w:t xml:space="preserve">n the </w:t>
      </w:r>
      <w:proofErr w:type="gramStart"/>
      <w:r w:rsidR="009E6A8C" w:rsidRPr="00380143">
        <w:t>chart:</w:t>
      </w:r>
      <w:proofErr w:type="gramEnd"/>
      <w:r w:rsidR="009E6A8C" w:rsidRPr="00380143">
        <w:t xml:space="preserve"> let’s select Line Graph.</w:t>
      </w:r>
    </w:p>
    <w:p w14:paraId="7DFFFFF6" w14:textId="76BB1EB5" w:rsidR="009E6A8C" w:rsidRPr="003D2A26" w:rsidRDefault="009E6A8C" w:rsidP="009E6A8C">
      <w:pPr>
        <w:rPr>
          <w:rFonts w:cs="Arial"/>
        </w:rPr>
      </w:pPr>
      <w:r w:rsidRPr="00380143">
        <w:rPr>
          <w:rFonts w:cs="Arial"/>
        </w:rPr>
        <w:t xml:space="preserve">Figure 2 </w:t>
      </w:r>
      <w:r w:rsidR="000A7930">
        <w:rPr>
          <w:rFonts w:cs="Arial"/>
        </w:rPr>
        <w:t>shows</w:t>
      </w:r>
      <w:r w:rsidR="000A7930" w:rsidRPr="00380143">
        <w:rPr>
          <w:rFonts w:cs="Arial"/>
        </w:rPr>
        <w:t xml:space="preserve"> </w:t>
      </w:r>
      <w:r w:rsidRPr="00380143">
        <w:rPr>
          <w:rFonts w:cs="Arial"/>
        </w:rPr>
        <w:t>what appears.</w:t>
      </w:r>
    </w:p>
    <w:p w14:paraId="610B7DA5" w14:textId="559DBF14" w:rsidR="009E6A8C" w:rsidRPr="00C870A4" w:rsidRDefault="009E6A8C" w:rsidP="009E6A8C">
      <w:pPr>
        <w:jc w:val="center"/>
      </w:pPr>
    </w:p>
    <w:p w14:paraId="714D28D4" w14:textId="77777777" w:rsidR="0030261A" w:rsidRDefault="0030261A" w:rsidP="0030261A">
      <w:pPr>
        <w:pStyle w:val="FigureTitles"/>
        <w:jc w:val="right"/>
      </w:pPr>
    </w:p>
    <w:p w14:paraId="6473C680" w14:textId="77777777" w:rsidR="0030261A" w:rsidRDefault="0030261A" w:rsidP="0030261A">
      <w:pPr>
        <w:pStyle w:val="FigureTitles"/>
        <w:jc w:val="right"/>
      </w:pPr>
    </w:p>
    <w:p w14:paraId="49E44F0F" w14:textId="77777777" w:rsidR="0030261A" w:rsidRDefault="0030261A" w:rsidP="0030261A">
      <w:pPr>
        <w:pStyle w:val="FigureTitles"/>
        <w:jc w:val="right"/>
      </w:pPr>
    </w:p>
    <w:p w14:paraId="33C1C352" w14:textId="77777777" w:rsidR="0030261A" w:rsidRDefault="0030261A" w:rsidP="0030261A">
      <w:pPr>
        <w:pStyle w:val="FigureTitles"/>
        <w:jc w:val="right"/>
      </w:pPr>
    </w:p>
    <w:p w14:paraId="10E017C2" w14:textId="56B9DF8B" w:rsidR="009E6A8C" w:rsidRPr="00680890" w:rsidRDefault="009E6A8C" w:rsidP="0030261A">
      <w:pPr>
        <w:pStyle w:val="FigureTitles"/>
        <w:jc w:val="right"/>
      </w:pPr>
      <w:r w:rsidRPr="00680890">
        <w:t xml:space="preserve">Figure 2: Participation (All Students) Enrolments: Percentage (%) </w:t>
      </w:r>
      <w:r w:rsidR="0030261A">
        <w:tab/>
      </w:r>
      <w:r w:rsidRPr="00680890">
        <w:t>(2013-2019)</w:t>
      </w:r>
    </w:p>
    <w:p w14:paraId="58028D28" w14:textId="77777777" w:rsidR="0030261A" w:rsidRDefault="0030261A" w:rsidP="009E6A8C"/>
    <w:p w14:paraId="078E968C" w14:textId="2B6EE2E1" w:rsidR="009E6A8C" w:rsidRDefault="009E6A8C" w:rsidP="009E6A8C">
      <w:r>
        <w:t xml:space="preserve">You might like to choose some other combinations </w:t>
      </w:r>
      <w:proofErr w:type="gramStart"/>
      <w:r>
        <w:t>and also</w:t>
      </w:r>
      <w:proofErr w:type="gramEnd"/>
      <w:r>
        <w:t xml:space="preserve"> check out the </w:t>
      </w:r>
      <w:hyperlink r:id="rId33" w:history="1">
        <w:r w:rsidRPr="00B80B29">
          <w:rPr>
            <w:rStyle w:val="Hyperlink"/>
          </w:rPr>
          <w:t>Institutional Data</w:t>
        </w:r>
      </w:hyperlink>
      <w:r>
        <w:t xml:space="preserve">. </w:t>
      </w:r>
    </w:p>
    <w:p w14:paraId="04323495" w14:textId="2E921727" w:rsidR="009E6A8C" w:rsidRDefault="009E6A8C" w:rsidP="009E6A8C">
      <w:r>
        <w:t>Enjoy!</w:t>
      </w:r>
    </w:p>
    <w:p w14:paraId="358EF64E" w14:textId="488BDE95" w:rsidR="003559AF" w:rsidRDefault="003559AF" w:rsidP="009E6A8C"/>
    <w:p w14:paraId="0D751F34" w14:textId="77777777" w:rsidR="003559AF" w:rsidRDefault="003559AF" w:rsidP="003559AF">
      <w:pPr>
        <w:pStyle w:val="Heading2"/>
      </w:pPr>
      <w:r>
        <w:t>Acknowledgements</w:t>
      </w:r>
    </w:p>
    <w:p w14:paraId="1517E2B1" w14:textId="74EE12F1" w:rsidR="009E6A8C" w:rsidRDefault="003C7CF5" w:rsidP="009E6A8C">
      <w:pPr>
        <w:rPr>
          <w:rFonts w:cs="Arial"/>
        </w:rPr>
      </w:pPr>
      <w:r w:rsidRPr="00E137ED">
        <w:rPr>
          <w:rFonts w:cs="Arial"/>
        </w:rPr>
        <w:t>Thank you to my colleagues</w:t>
      </w:r>
      <w:r>
        <w:rPr>
          <w:rFonts w:cs="Arial"/>
        </w:rPr>
        <w:t>:</w:t>
      </w:r>
      <w:r w:rsidRPr="00E137ED">
        <w:rPr>
          <w:rFonts w:cs="Arial"/>
        </w:rPr>
        <w:t xml:space="preserve"> Dr Paul Koshy,</w:t>
      </w:r>
      <w:r>
        <w:rPr>
          <w:rFonts w:cs="Arial"/>
        </w:rPr>
        <w:t xml:space="preserve"> NCSEHE, Curtin University;</w:t>
      </w:r>
      <w:r w:rsidRPr="00E137ED">
        <w:rPr>
          <w:rFonts w:cs="Arial"/>
        </w:rPr>
        <w:t xml:space="preserve"> </w:t>
      </w:r>
      <w:r w:rsidRPr="000A1935">
        <w:rPr>
          <w:rFonts w:cs="Arial"/>
        </w:rPr>
        <w:t>Dr Judy Skene</w:t>
      </w:r>
      <w:r>
        <w:rPr>
          <w:rFonts w:cs="Arial"/>
        </w:rPr>
        <w:t xml:space="preserve">, </w:t>
      </w:r>
      <w:r w:rsidRPr="00BC5A53">
        <w:rPr>
          <w:rFonts w:cs="Arial"/>
        </w:rPr>
        <w:t>Independent Consultant (formerly Assoc</w:t>
      </w:r>
      <w:r>
        <w:rPr>
          <w:rFonts w:cs="Arial"/>
        </w:rPr>
        <w:t>iate</w:t>
      </w:r>
      <w:r w:rsidRPr="00BC5A53">
        <w:rPr>
          <w:rFonts w:cs="Arial"/>
        </w:rPr>
        <w:t xml:space="preserve"> Director, Student Services, UWA)</w:t>
      </w:r>
      <w:r>
        <w:rPr>
          <w:rFonts w:cs="Arial"/>
        </w:rPr>
        <w:t xml:space="preserve">; and </w:t>
      </w:r>
      <w:r w:rsidRPr="000A1935">
        <w:rPr>
          <w:rFonts w:cs="Arial"/>
        </w:rPr>
        <w:t>Allen Baird</w:t>
      </w:r>
      <w:r>
        <w:rPr>
          <w:rFonts w:cs="Arial"/>
        </w:rPr>
        <w:t xml:space="preserve"> (formerly Student Coordinator/Lecturer/Tutor, Pre-degree Programs, UTAS),</w:t>
      </w:r>
      <w:r w:rsidRPr="000A1935">
        <w:rPr>
          <w:rFonts w:cs="Arial"/>
        </w:rPr>
        <w:t xml:space="preserve"> for </w:t>
      </w:r>
      <w:r>
        <w:rPr>
          <w:rFonts w:cs="Arial"/>
        </w:rPr>
        <w:t xml:space="preserve">excellent </w:t>
      </w:r>
      <w:r w:rsidRPr="000A1935">
        <w:rPr>
          <w:rFonts w:cs="Arial"/>
        </w:rPr>
        <w:t>feedback</w:t>
      </w:r>
      <w:r>
        <w:rPr>
          <w:rFonts w:cs="Arial"/>
        </w:rPr>
        <w:t xml:space="preserve"> and suggestions</w:t>
      </w:r>
      <w:r w:rsidRPr="000A1935">
        <w:rPr>
          <w:rFonts w:cs="Arial"/>
        </w:rPr>
        <w:t xml:space="preserve"> on this guide.</w:t>
      </w:r>
      <w:r w:rsidR="00475362">
        <w:rPr>
          <w:rFonts w:cs="Arial"/>
        </w:rPr>
        <w:t xml:space="preserve"> </w:t>
      </w:r>
      <w:r w:rsidR="00475362" w:rsidRPr="007C424C">
        <w:rPr>
          <w:rFonts w:cs="Arial"/>
        </w:rPr>
        <w:t>The</w:t>
      </w:r>
      <w:r w:rsidR="00475362">
        <w:rPr>
          <w:rFonts w:cs="Arial"/>
        </w:rPr>
        <w:t xml:space="preserve"> beautiful</w:t>
      </w:r>
      <w:r w:rsidR="00475362" w:rsidRPr="007C424C">
        <w:rPr>
          <w:rFonts w:cs="Arial"/>
        </w:rPr>
        <w:t xml:space="preserve"> illustration</w:t>
      </w:r>
      <w:r w:rsidR="00475362">
        <w:rPr>
          <w:rFonts w:cs="Arial"/>
        </w:rPr>
        <w:t xml:space="preserve"> on the cover</w:t>
      </w:r>
      <w:r w:rsidR="00475362" w:rsidRPr="007C424C">
        <w:rPr>
          <w:rFonts w:cs="Arial"/>
        </w:rPr>
        <w:t xml:space="preserve"> </w:t>
      </w:r>
      <w:r w:rsidR="00475362">
        <w:rPr>
          <w:rFonts w:cs="Arial"/>
        </w:rPr>
        <w:t xml:space="preserve">is </w:t>
      </w:r>
      <w:r w:rsidR="00475362" w:rsidRPr="007C424C">
        <w:rPr>
          <w:rFonts w:cs="Arial"/>
        </w:rPr>
        <w:t>by Morag Porteous.</w:t>
      </w:r>
    </w:p>
    <w:p w14:paraId="6C599877" w14:textId="77777777" w:rsidR="0030261A" w:rsidRPr="003C7CF5" w:rsidRDefault="0030261A" w:rsidP="009E6A8C">
      <w:pPr>
        <w:rPr>
          <w:rFonts w:eastAsia="Times New Roman" w:cs="Arial"/>
          <w:color w:val="auto"/>
          <w:lang w:eastAsia="en-GB"/>
        </w:rPr>
      </w:pPr>
    </w:p>
    <w:p w14:paraId="50605A5F" w14:textId="77777777" w:rsidR="009E6A8C" w:rsidRDefault="009E6A8C" w:rsidP="009E6A8C">
      <w:pPr>
        <w:pStyle w:val="Heading2"/>
      </w:pPr>
      <w:r>
        <w:t xml:space="preserve">References </w:t>
      </w:r>
    </w:p>
    <w:p w14:paraId="1B77BF96" w14:textId="77777777" w:rsidR="009E6A8C" w:rsidRPr="009E6A8C" w:rsidRDefault="009E6A8C" w:rsidP="009E6A8C">
      <w:pPr>
        <w:pStyle w:val="EndNoteBibliography"/>
        <w:ind w:left="720" w:hanging="720"/>
        <w:rPr>
          <w:rFonts w:ascii="Arial" w:hAnsi="Arial" w:cs="Arial"/>
          <w:szCs w:val="22"/>
          <w:lang w:val="en-AU"/>
        </w:rPr>
      </w:pPr>
      <w:r w:rsidRPr="009E6A8C">
        <w:rPr>
          <w:rFonts w:ascii="Arial" w:hAnsi="Arial" w:cs="Arial"/>
          <w:szCs w:val="22"/>
          <w:lang w:val="en-AU"/>
        </w:rPr>
        <w:t xml:space="preserve">Bennett, A., Naylor, R., Mellor, K., Bridges, E., Brett, M., Gore, J., Harvey, A., Munn, B., James, R., Smith, M., and Whitty, G. (2015). </w:t>
      </w:r>
      <w:r w:rsidRPr="009E6A8C">
        <w:rPr>
          <w:rFonts w:ascii="Arial" w:hAnsi="Arial" w:cs="Arial"/>
          <w:i/>
          <w:iCs/>
          <w:szCs w:val="22"/>
          <w:lang w:val="en-AU"/>
        </w:rPr>
        <w:t xml:space="preserve">The Critical Interventions Framework Part 2: Featured Initiatives. </w:t>
      </w:r>
      <w:hyperlink r:id="rId34" w:history="1">
        <w:r w:rsidRPr="009E6A8C">
          <w:rPr>
            <w:rStyle w:val="Hyperlink"/>
            <w:rFonts w:ascii="Arial" w:hAnsi="Arial" w:cs="Arial"/>
            <w:szCs w:val="22"/>
            <w:lang w:val="en-AU"/>
          </w:rPr>
          <w:t>https://www.ncsehe.edu.au/wp-content/uploads/2018/06/23_UoN_AnnaBennett_Supplied_Part2.pdf</w:t>
        </w:r>
      </w:hyperlink>
    </w:p>
    <w:p w14:paraId="5BFDA57F" w14:textId="77777777" w:rsidR="009E6A8C" w:rsidRPr="007B6CC6" w:rsidRDefault="009E6A8C" w:rsidP="009E6A8C">
      <w:pPr>
        <w:pStyle w:val="EndNoteBibliography"/>
        <w:ind w:left="720" w:hanging="720"/>
        <w:rPr>
          <w:rFonts w:asciiTheme="minorHAnsi" w:hAnsiTheme="minorHAnsi" w:cstheme="minorHAnsi"/>
          <w:szCs w:val="22"/>
        </w:rPr>
      </w:pPr>
    </w:p>
    <w:p w14:paraId="2CC2E855" w14:textId="77777777" w:rsidR="009E6A8C" w:rsidRPr="008D7236" w:rsidRDefault="009E6A8C" w:rsidP="009E6A8C">
      <w:pPr>
        <w:pStyle w:val="NormalWeb"/>
        <w:rPr>
          <w:rFonts w:asciiTheme="minorHAnsi" w:hAnsiTheme="minorHAnsi" w:cstheme="minorHAnsi"/>
          <w:color w:val="000000" w:themeColor="text1"/>
          <w:sz w:val="22"/>
          <w:szCs w:val="22"/>
        </w:rPr>
      </w:pPr>
    </w:p>
    <w:p w14:paraId="14988F9F" w14:textId="77777777" w:rsidR="009E6A8C" w:rsidRPr="002E2D6A" w:rsidRDefault="009E6A8C" w:rsidP="002E2D6A"/>
    <w:sectPr w:rsidR="009E6A8C" w:rsidRPr="002E2D6A" w:rsidSect="00E5177B">
      <w:footerReference w:type="even" r:id="rId35"/>
      <w:footerReference w:type="default" r:id="rId3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E1898" w14:textId="77777777" w:rsidR="00010CA9" w:rsidRDefault="00010CA9" w:rsidP="002E2D6A">
      <w:pPr>
        <w:spacing w:after="0"/>
      </w:pPr>
      <w:r>
        <w:separator/>
      </w:r>
    </w:p>
  </w:endnote>
  <w:endnote w:type="continuationSeparator" w:id="0">
    <w:p w14:paraId="423A5D7E" w14:textId="77777777" w:rsidR="00010CA9" w:rsidRDefault="00010CA9"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aSoft Pro SemiBold">
    <w:panose1 w:val="02000603080000020004"/>
    <w:charset w:val="00"/>
    <w:family w:val="modern"/>
    <w:notTrueType/>
    <w:pitch w:val="variable"/>
    <w:sig w:usb0="800000AF" w:usb1="00000042" w:usb2="00000000" w:usb3="00000000" w:csb0="0000000B" w:csb1="00000000"/>
  </w:font>
  <w:font w:name="SansaSoft Pro Normal">
    <w:panose1 w:val="02000603080000020004"/>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9415360"/>
      <w:docPartObj>
        <w:docPartGallery w:val="Page Numbers (Bottom of Page)"/>
        <w:docPartUnique/>
      </w:docPartObj>
    </w:sdtPr>
    <w:sdtEndPr>
      <w:rPr>
        <w:rStyle w:val="PageNumber"/>
      </w:rPr>
    </w:sdtEndPr>
    <w:sdtContent>
      <w:p w14:paraId="3E5B2B5F" w14:textId="17FCEB4E" w:rsidR="009E6A8C" w:rsidRDefault="009E6A8C" w:rsidP="001256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EDD6EE" w14:textId="77777777" w:rsidR="009E6A8C" w:rsidRDefault="009E6A8C" w:rsidP="009E6A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868985153"/>
      <w:docPartObj>
        <w:docPartGallery w:val="Page Numbers (Bottom of Page)"/>
        <w:docPartUnique/>
      </w:docPartObj>
    </w:sdtPr>
    <w:sdtEndPr>
      <w:rPr>
        <w:rStyle w:val="PageNumber"/>
      </w:rPr>
    </w:sdtEndPr>
    <w:sdtContent>
      <w:p w14:paraId="2FA2E8EC" w14:textId="5B249C65" w:rsidR="009E6A8C" w:rsidRPr="00CA30F8" w:rsidRDefault="009E6A8C" w:rsidP="001256D4">
        <w:pPr>
          <w:pStyle w:val="Footer"/>
          <w:framePr w:wrap="none" w:vAnchor="text" w:hAnchor="margin" w:xAlign="right" w:y="1"/>
          <w:rPr>
            <w:rStyle w:val="PageNumber"/>
            <w:sz w:val="16"/>
            <w:szCs w:val="16"/>
          </w:rPr>
        </w:pPr>
        <w:r w:rsidRPr="00CA30F8">
          <w:rPr>
            <w:rStyle w:val="PageNumber"/>
            <w:sz w:val="16"/>
            <w:szCs w:val="16"/>
          </w:rPr>
          <w:fldChar w:fldCharType="begin"/>
        </w:r>
        <w:r w:rsidRPr="00CA30F8">
          <w:rPr>
            <w:rStyle w:val="PageNumber"/>
            <w:sz w:val="16"/>
            <w:szCs w:val="16"/>
          </w:rPr>
          <w:instrText xml:space="preserve"> PAGE </w:instrText>
        </w:r>
        <w:r w:rsidRPr="00CA30F8">
          <w:rPr>
            <w:rStyle w:val="PageNumber"/>
            <w:sz w:val="16"/>
            <w:szCs w:val="16"/>
          </w:rPr>
          <w:fldChar w:fldCharType="separate"/>
        </w:r>
        <w:r w:rsidRPr="00CA30F8">
          <w:rPr>
            <w:rStyle w:val="PageNumber"/>
            <w:noProof/>
            <w:sz w:val="16"/>
            <w:szCs w:val="16"/>
          </w:rPr>
          <w:t>2</w:t>
        </w:r>
        <w:r w:rsidRPr="00CA30F8">
          <w:rPr>
            <w:rStyle w:val="PageNumber"/>
            <w:sz w:val="16"/>
            <w:szCs w:val="16"/>
          </w:rPr>
          <w:fldChar w:fldCharType="end"/>
        </w:r>
      </w:p>
    </w:sdtContent>
  </w:sdt>
  <w:p w14:paraId="738C9525" w14:textId="20D077A7" w:rsidR="002E2D6A" w:rsidRDefault="009E6A8C" w:rsidP="009E6A8C">
    <w:pPr>
      <w:pStyle w:val="FooterText"/>
      <w:ind w:right="360"/>
    </w:pPr>
    <w:r>
      <w:t>Nicole Crawford (</w:t>
    </w:r>
    <w:r w:rsidR="003C7CF5">
      <w:t>June</w:t>
    </w:r>
    <w: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B7F81" w14:textId="77777777" w:rsidR="00010CA9" w:rsidRDefault="00010CA9" w:rsidP="002E2D6A">
      <w:pPr>
        <w:spacing w:after="0"/>
      </w:pPr>
      <w:r>
        <w:separator/>
      </w:r>
    </w:p>
  </w:footnote>
  <w:footnote w:type="continuationSeparator" w:id="0">
    <w:p w14:paraId="00388B01" w14:textId="77777777" w:rsidR="00010CA9" w:rsidRDefault="00010CA9" w:rsidP="002E2D6A">
      <w:pPr>
        <w:spacing w:after="0"/>
      </w:pPr>
      <w:r>
        <w:continuationSeparator/>
      </w:r>
    </w:p>
  </w:footnote>
  <w:footnote w:id="1">
    <w:p w14:paraId="3040AEAE" w14:textId="77F56B25" w:rsidR="009E6A8C" w:rsidRDefault="009E6A8C" w:rsidP="009E6A8C">
      <w:pPr>
        <w:pStyle w:val="FootnoteText"/>
      </w:pPr>
      <w:r>
        <w:rPr>
          <w:rStyle w:val="FootnoteReference"/>
        </w:rPr>
        <w:footnoteRef/>
      </w:r>
      <w:r>
        <w:t xml:space="preserve"> </w:t>
      </w:r>
      <w:r w:rsidRPr="009E6A8C">
        <w:rPr>
          <w:rFonts w:ascii="Arial" w:hAnsi="Arial" w:cs="Arial"/>
          <w:sz w:val="16"/>
          <w:szCs w:val="16"/>
        </w:rPr>
        <w:t>This guide was updated and edited for a general audience of academic and professional staff in May 2022; at that time, the links in this document were accurate, but please note that links to university webpages often change.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3CC7"/>
    <w:multiLevelType w:val="hybridMultilevel"/>
    <w:tmpl w:val="B28E7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D1B3C2A"/>
    <w:multiLevelType w:val="hybridMultilevel"/>
    <w:tmpl w:val="9932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6E122F"/>
    <w:multiLevelType w:val="hybridMultilevel"/>
    <w:tmpl w:val="8F8088B4"/>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82591C"/>
    <w:multiLevelType w:val="hybridMultilevel"/>
    <w:tmpl w:val="5A5E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6CEC5E85"/>
    <w:multiLevelType w:val="hybridMultilevel"/>
    <w:tmpl w:val="A48E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319240">
    <w:abstractNumId w:val="5"/>
  </w:num>
  <w:num w:numId="2" w16cid:durableId="94834915">
    <w:abstractNumId w:val="2"/>
  </w:num>
  <w:num w:numId="3" w16cid:durableId="1299454075">
    <w:abstractNumId w:val="6"/>
  </w:num>
  <w:num w:numId="4" w16cid:durableId="1865896839">
    <w:abstractNumId w:val="4"/>
  </w:num>
  <w:num w:numId="5" w16cid:durableId="560941883">
    <w:abstractNumId w:val="3"/>
  </w:num>
  <w:num w:numId="6" w16cid:durableId="1743990368">
    <w:abstractNumId w:val="0"/>
  </w:num>
  <w:num w:numId="7" w16cid:durableId="1204902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B64"/>
    <w:rsid w:val="00010CA9"/>
    <w:rsid w:val="00011861"/>
    <w:rsid w:val="000A7930"/>
    <w:rsid w:val="000C1867"/>
    <w:rsid w:val="0010327A"/>
    <w:rsid w:val="001239EC"/>
    <w:rsid w:val="001D3342"/>
    <w:rsid w:val="00264CAD"/>
    <w:rsid w:val="00282551"/>
    <w:rsid w:val="00287457"/>
    <w:rsid w:val="002E2D6A"/>
    <w:rsid w:val="0030261A"/>
    <w:rsid w:val="003317C7"/>
    <w:rsid w:val="003403AF"/>
    <w:rsid w:val="003559AF"/>
    <w:rsid w:val="00360C41"/>
    <w:rsid w:val="00380143"/>
    <w:rsid w:val="003817AD"/>
    <w:rsid w:val="003C7CF5"/>
    <w:rsid w:val="003D2A26"/>
    <w:rsid w:val="00401CAF"/>
    <w:rsid w:val="00434636"/>
    <w:rsid w:val="0046169E"/>
    <w:rsid w:val="00475362"/>
    <w:rsid w:val="004A5CF5"/>
    <w:rsid w:val="005134B4"/>
    <w:rsid w:val="005225D7"/>
    <w:rsid w:val="00524EEC"/>
    <w:rsid w:val="005967FD"/>
    <w:rsid w:val="005B3CDA"/>
    <w:rsid w:val="006227D1"/>
    <w:rsid w:val="00636DA0"/>
    <w:rsid w:val="00657612"/>
    <w:rsid w:val="0071375C"/>
    <w:rsid w:val="00731D83"/>
    <w:rsid w:val="007C7EE5"/>
    <w:rsid w:val="007E5D2F"/>
    <w:rsid w:val="007E7EE0"/>
    <w:rsid w:val="008562CC"/>
    <w:rsid w:val="008A416A"/>
    <w:rsid w:val="008D2B64"/>
    <w:rsid w:val="008F7EE6"/>
    <w:rsid w:val="009074B6"/>
    <w:rsid w:val="009E6A8C"/>
    <w:rsid w:val="00A551D8"/>
    <w:rsid w:val="00A714A1"/>
    <w:rsid w:val="00AC5EB3"/>
    <w:rsid w:val="00BA278B"/>
    <w:rsid w:val="00BD5CB0"/>
    <w:rsid w:val="00C03AA0"/>
    <w:rsid w:val="00C80382"/>
    <w:rsid w:val="00CA30F8"/>
    <w:rsid w:val="00E31068"/>
    <w:rsid w:val="00E3459F"/>
    <w:rsid w:val="00E5177B"/>
    <w:rsid w:val="00E54F2A"/>
    <w:rsid w:val="00EE5668"/>
    <w:rsid w:val="00F93E92"/>
    <w:rsid w:val="00FB1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02F6C"/>
  <w15:chartTrackingRefBased/>
  <w15:docId w15:val="{527D244D-7E43-44E9-9D3B-A31A9C12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paragraph" w:customStyle="1" w:styleId="Bullets">
    <w:name w:val="Bullets"/>
    <w:basedOn w:val="FooterText"/>
    <w:link w:val="BulletsChar"/>
    <w:qFormat/>
    <w:rsid w:val="002E2D6A"/>
    <w:pPr>
      <w:numPr>
        <w:numId w:val="2"/>
      </w:numPr>
      <w:ind w:left="714" w:hanging="357"/>
      <w:contextualSpacing/>
    </w:pPr>
    <w:rPr>
      <w:color w:val="262626"/>
      <w:sz w:val="22"/>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TableTitles">
    <w:name w:val="Table Titles"/>
    <w:basedOn w:val="FigureTitles"/>
    <w:link w:val="TableTitlesChar"/>
    <w:qFormat/>
    <w:rsid w:val="002E2D6A"/>
    <w:rPr>
      <w:sz w:val="22"/>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paragraph" w:styleId="ListParagraph">
    <w:name w:val="List Paragraph"/>
    <w:basedOn w:val="Normal"/>
    <w:uiPriority w:val="34"/>
    <w:qFormat/>
    <w:rsid w:val="009E6A8C"/>
    <w:pPr>
      <w:spacing w:after="0"/>
      <w:ind w:left="720"/>
      <w:contextualSpacing/>
    </w:pPr>
    <w:rPr>
      <w:rFonts w:asciiTheme="minorHAnsi" w:eastAsiaTheme="minorHAnsi" w:hAnsiTheme="minorHAnsi" w:cstheme="minorBidi"/>
      <w:color w:val="auto"/>
      <w:szCs w:val="24"/>
    </w:rPr>
  </w:style>
  <w:style w:type="character" w:styleId="Hyperlink">
    <w:name w:val="Hyperlink"/>
    <w:basedOn w:val="DefaultParagraphFont"/>
    <w:uiPriority w:val="99"/>
    <w:unhideWhenUsed/>
    <w:rsid w:val="009E6A8C"/>
    <w:rPr>
      <w:color w:val="BF8F00" w:themeColor="accent4" w:themeShade="BF"/>
      <w:u w:val="single"/>
    </w:rPr>
  </w:style>
  <w:style w:type="paragraph" w:styleId="FootnoteText">
    <w:name w:val="footnote text"/>
    <w:basedOn w:val="Normal"/>
    <w:link w:val="FootnoteTextChar"/>
    <w:uiPriority w:val="99"/>
    <w:semiHidden/>
    <w:unhideWhenUsed/>
    <w:rsid w:val="009E6A8C"/>
    <w:pPr>
      <w:spacing w:after="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9E6A8C"/>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E6A8C"/>
    <w:rPr>
      <w:vertAlign w:val="superscript"/>
    </w:rPr>
  </w:style>
  <w:style w:type="paragraph" w:styleId="NormalWeb">
    <w:name w:val="Normal (Web)"/>
    <w:basedOn w:val="Normal"/>
    <w:uiPriority w:val="99"/>
    <w:semiHidden/>
    <w:unhideWhenUsed/>
    <w:rsid w:val="009E6A8C"/>
    <w:pPr>
      <w:spacing w:before="100" w:beforeAutospacing="1" w:after="100" w:afterAutospacing="1"/>
    </w:pPr>
    <w:rPr>
      <w:rFonts w:ascii="Times New Roman" w:eastAsia="Times New Roman" w:hAnsi="Times New Roman"/>
      <w:color w:val="auto"/>
      <w:sz w:val="24"/>
      <w:szCs w:val="24"/>
      <w:lang w:eastAsia="en-GB"/>
    </w:rPr>
  </w:style>
  <w:style w:type="paragraph" w:customStyle="1" w:styleId="EndNoteBibliography">
    <w:name w:val="EndNote Bibliography"/>
    <w:basedOn w:val="Normal"/>
    <w:link w:val="EndNoteBibliographyChar"/>
    <w:rsid w:val="009E6A8C"/>
    <w:pPr>
      <w:spacing w:after="0"/>
    </w:pPr>
    <w:rPr>
      <w:rFonts w:ascii="Calibri" w:eastAsiaTheme="minorHAnsi" w:hAnsi="Calibri" w:cs="Calibri"/>
      <w:color w:val="auto"/>
      <w:szCs w:val="24"/>
      <w:lang w:val="en-US"/>
    </w:rPr>
  </w:style>
  <w:style w:type="character" w:customStyle="1" w:styleId="EndNoteBibliographyChar">
    <w:name w:val="EndNote Bibliography Char"/>
    <w:basedOn w:val="DefaultParagraphFont"/>
    <w:link w:val="EndNoteBibliography"/>
    <w:rsid w:val="009E6A8C"/>
    <w:rPr>
      <w:rFonts w:eastAsiaTheme="minorHAnsi" w:cs="Calibri"/>
      <w:sz w:val="22"/>
      <w:szCs w:val="24"/>
      <w:lang w:val="en-US" w:eastAsia="en-US"/>
    </w:rPr>
  </w:style>
  <w:style w:type="character" w:styleId="CommentReference">
    <w:name w:val="annotation reference"/>
    <w:basedOn w:val="DefaultParagraphFont"/>
    <w:uiPriority w:val="99"/>
    <w:semiHidden/>
    <w:unhideWhenUsed/>
    <w:rsid w:val="009E6A8C"/>
    <w:rPr>
      <w:sz w:val="16"/>
      <w:szCs w:val="16"/>
    </w:rPr>
  </w:style>
  <w:style w:type="paragraph" w:styleId="CommentText">
    <w:name w:val="annotation text"/>
    <w:basedOn w:val="Normal"/>
    <w:link w:val="CommentTextChar"/>
    <w:uiPriority w:val="99"/>
    <w:semiHidden/>
    <w:unhideWhenUsed/>
    <w:rsid w:val="009E6A8C"/>
    <w:pPr>
      <w:spacing w:after="0"/>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9E6A8C"/>
    <w:rPr>
      <w:rFonts w:asciiTheme="minorHAnsi" w:eastAsiaTheme="minorHAnsi" w:hAnsiTheme="minorHAnsi" w:cstheme="minorBidi"/>
      <w:lang w:eastAsia="en-US"/>
    </w:rPr>
  </w:style>
  <w:style w:type="character" w:styleId="PageNumber">
    <w:name w:val="page number"/>
    <w:basedOn w:val="DefaultParagraphFont"/>
    <w:uiPriority w:val="99"/>
    <w:semiHidden/>
    <w:unhideWhenUsed/>
    <w:rsid w:val="009E6A8C"/>
  </w:style>
  <w:style w:type="paragraph" w:styleId="Revision">
    <w:name w:val="Revision"/>
    <w:hidden/>
    <w:uiPriority w:val="99"/>
    <w:semiHidden/>
    <w:rsid w:val="005225D7"/>
    <w:rPr>
      <w:rFonts w:ascii="Arial" w:hAnsi="Arial"/>
      <w:color w:val="262626"/>
      <w:sz w:val="22"/>
      <w:szCs w:val="22"/>
      <w:lang w:eastAsia="en-US"/>
    </w:rPr>
  </w:style>
  <w:style w:type="paragraph" w:styleId="CommentSubject">
    <w:name w:val="annotation subject"/>
    <w:basedOn w:val="CommentText"/>
    <w:next w:val="CommentText"/>
    <w:link w:val="CommentSubjectChar"/>
    <w:uiPriority w:val="99"/>
    <w:semiHidden/>
    <w:unhideWhenUsed/>
    <w:rsid w:val="005225D7"/>
    <w:pPr>
      <w:spacing w:after="160"/>
    </w:pPr>
    <w:rPr>
      <w:rFonts w:ascii="Arial" w:eastAsia="Calibri" w:hAnsi="Arial" w:cs="Times New Roman"/>
      <w:b/>
      <w:bCs/>
      <w:color w:val="262626"/>
    </w:rPr>
  </w:style>
  <w:style w:type="character" w:customStyle="1" w:styleId="CommentSubjectChar">
    <w:name w:val="Comment Subject Char"/>
    <w:basedOn w:val="CommentTextChar"/>
    <w:link w:val="CommentSubject"/>
    <w:uiPriority w:val="99"/>
    <w:semiHidden/>
    <w:rsid w:val="005225D7"/>
    <w:rPr>
      <w:rFonts w:ascii="Arial" w:eastAsiaTheme="minorHAnsi" w:hAnsi="Arial" w:cstheme="minorBidi"/>
      <w:b/>
      <w:bCs/>
      <w:color w:val="262626"/>
      <w:lang w:eastAsia="en-US"/>
    </w:rPr>
  </w:style>
  <w:style w:type="character" w:styleId="FollowedHyperlink">
    <w:name w:val="FollowedHyperlink"/>
    <w:basedOn w:val="DefaultParagraphFont"/>
    <w:uiPriority w:val="99"/>
    <w:semiHidden/>
    <w:unhideWhenUsed/>
    <w:rsid w:val="00524EEC"/>
    <w:rPr>
      <w:color w:val="954F72" w:themeColor="followedHyperlink"/>
      <w:u w:val="single"/>
    </w:rPr>
  </w:style>
  <w:style w:type="paragraph" w:styleId="NoSpacing">
    <w:name w:val="No Spacing"/>
    <w:link w:val="NoSpacingChar"/>
    <w:uiPriority w:val="1"/>
    <w:qFormat/>
    <w:rsid w:val="00E5177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5177B"/>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wcastle.edu.au/research/centre/ceehe" TargetMode="External"/><Relationship Id="rId18" Type="http://schemas.openxmlformats.org/officeDocument/2006/relationships/hyperlink" Target="https://grattan.edu.au/" TargetMode="External"/><Relationship Id="rId26" Type="http://schemas.openxmlformats.org/officeDocument/2006/relationships/hyperlink" Target="https://www.ncsehe.edu.au/research/briefing-notes/" TargetMode="External"/><Relationship Id="rId21" Type="http://schemas.openxmlformats.org/officeDocument/2006/relationships/hyperlink" Target="https://www.spera.asn.au/" TargetMode="External"/><Relationship Id="rId34" Type="http://schemas.openxmlformats.org/officeDocument/2006/relationships/hyperlink" Target="https://www.ncsehe.edu.au/wp-content/uploads/2018/06/23_UoN_AnnaBennett_Supplied_Part2.pdf" TargetMode="External"/><Relationship Id="rId7" Type="http://schemas.openxmlformats.org/officeDocument/2006/relationships/image" Target="media/image1.jpeg"/><Relationship Id="rId12" Type="http://schemas.openxmlformats.org/officeDocument/2006/relationships/hyperlink" Target="https://www.ncsehe.edu.au/ncsehe-building-legacy-capacity-workshop-series/" TargetMode="External"/><Relationship Id="rId17" Type="http://schemas.openxmlformats.org/officeDocument/2006/relationships/hyperlink" Target="https://www.vu.edu.au/mitchell-institute" TargetMode="External"/><Relationship Id="rId25" Type="http://schemas.openxmlformats.org/officeDocument/2006/relationships/hyperlink" Target="https://www.dese.gov.au/higher-education-statistics/student-data" TargetMode="External"/><Relationship Id="rId33" Type="http://schemas.openxmlformats.org/officeDocument/2006/relationships/hyperlink" Target="https://www.ncsehe.edu.au/data/institutional-data/"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qilt.edu.au/surveys/student-experience-survey-(ses)" TargetMode="External"/><Relationship Id="rId20" Type="http://schemas.openxmlformats.org/officeDocument/2006/relationships/hyperlink" Target="https://www.uts.edu.au/partners-and-community/initiatives/social-justice-uts/centre-social-justice-inclusion/news" TargetMode="External"/><Relationship Id="rId29" Type="http://schemas.openxmlformats.org/officeDocument/2006/relationships/hyperlink" Target="https://www.ncsehe.edu.au/equity-data__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sehe.edu.au/research-database/" TargetMode="External"/><Relationship Id="rId24" Type="http://schemas.openxmlformats.org/officeDocument/2006/relationships/hyperlink" Target="https://www.dese.gov.au/higher-education-statistics"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qilt.edu.au/" TargetMode="External"/><Relationship Id="rId23" Type="http://schemas.openxmlformats.org/officeDocument/2006/relationships/hyperlink" Target="https://www.ephea.org/membership" TargetMode="External"/><Relationship Id="rId28" Type="http://schemas.openxmlformats.org/officeDocument/2006/relationships/hyperlink" Target="https://www.ncsehe.edu.au/equity-data__home/" TargetMode="External"/><Relationship Id="rId36" Type="http://schemas.openxmlformats.org/officeDocument/2006/relationships/footer" Target="footer2.xml"/><Relationship Id="rId10" Type="http://schemas.openxmlformats.org/officeDocument/2006/relationships/hyperlink" Target="https://www.ncsehe.edu.au/research/journal-articles/" TargetMode="External"/><Relationship Id="rId19" Type="http://schemas.openxmlformats.org/officeDocument/2006/relationships/hyperlink" Target="https://www.ephea.org/"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ncsehe.edu.au/research/research-reports/" TargetMode="External"/><Relationship Id="rId14" Type="http://schemas.openxmlformats.org/officeDocument/2006/relationships/hyperlink" Target="https://www.newcastle.edu.au/research/centre/ceehe/publications" TargetMode="External"/><Relationship Id="rId22" Type="http://schemas.openxmlformats.org/officeDocument/2006/relationships/hyperlink" Target="https://www.ncsehe.edu.au/" TargetMode="External"/><Relationship Id="rId27" Type="http://schemas.openxmlformats.org/officeDocument/2006/relationships/hyperlink" Target="https://www.dese.gov.au/higher-education-statistics/student-data" TargetMode="External"/><Relationship Id="rId30" Type="http://schemas.openxmlformats.org/officeDocument/2006/relationships/hyperlink" Target="https://www.ncsehe.edu.au/national-data/" TargetMode="External"/><Relationship Id="rId35" Type="http://schemas.openxmlformats.org/officeDocument/2006/relationships/footer" Target="footer1.xml"/><Relationship Id="rId8" Type="http://schemas.openxmlformats.org/officeDocument/2006/relationships/hyperlink" Target="https://www.ncsehe.edu.a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1092</Words>
  <Characters>6957</Characters>
  <Application>Microsoft Office Word</Application>
  <DocSecurity>0</DocSecurity>
  <Lines>110</Lines>
  <Paragraphs>38</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Nina-Marie Thomas</cp:lastModifiedBy>
  <cp:revision>4</cp:revision>
  <dcterms:created xsi:type="dcterms:W3CDTF">2022-06-13T01:30:00Z</dcterms:created>
  <dcterms:modified xsi:type="dcterms:W3CDTF">2022-06-13T01:49:00Z</dcterms:modified>
</cp:coreProperties>
</file>