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27DD5" w14:textId="4602760E" w:rsidR="00236379" w:rsidRDefault="000126DD" w:rsidP="005267D3">
      <w:r>
        <w:rPr>
          <w:noProof/>
          <w:lang w:eastAsia="en-AU"/>
        </w:rPr>
        <w:drawing>
          <wp:anchor distT="0" distB="0" distL="114300" distR="114300" simplePos="0" relativeHeight="251660288" behindDoc="1" locked="0" layoutInCell="1" allowOverlap="1" wp14:anchorId="297E6EC7" wp14:editId="4CB2C23E">
            <wp:simplePos x="0" y="0"/>
            <wp:positionH relativeFrom="column">
              <wp:posOffset>-755716</wp:posOffset>
            </wp:positionH>
            <wp:positionV relativeFrom="paragraph">
              <wp:posOffset>-1013551</wp:posOffset>
            </wp:positionV>
            <wp:extent cx="7597243" cy="10745219"/>
            <wp:effectExtent l="0" t="0" r="3810" b="0"/>
            <wp:wrapNone/>
            <wp:docPr id="1" name="Picture 1" descr="NCSEHE &amp; Curtin Universtity Logo.&#10;Discussion Paper on the 2020 Review of the Disability Standards for Education 2005.&#10;&#10;"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DiscussionPaper-Review-DSE-Cover.jpg"/>
                    <pic:cNvPicPr/>
                  </pic:nvPicPr>
                  <pic:blipFill>
                    <a:blip r:embed="rId8">
                      <a:extLst>
                        <a:ext uri="{28A0092B-C50C-407E-A947-70E740481C1C}">
                          <a14:useLocalDpi xmlns:a14="http://schemas.microsoft.com/office/drawing/2010/main" val="0"/>
                        </a:ext>
                      </a:extLst>
                    </a:blip>
                    <a:stretch>
                      <a:fillRect/>
                    </a:stretch>
                  </pic:blipFill>
                  <pic:spPr>
                    <a:xfrm>
                      <a:off x="0" y="0"/>
                      <a:ext cx="7597243" cy="10745219"/>
                    </a:xfrm>
                    <a:prstGeom prst="rect">
                      <a:avLst/>
                    </a:prstGeom>
                  </pic:spPr>
                </pic:pic>
              </a:graphicData>
            </a:graphic>
            <wp14:sizeRelH relativeFrom="page">
              <wp14:pctWidth>0</wp14:pctWidth>
            </wp14:sizeRelH>
            <wp14:sizeRelV relativeFrom="page">
              <wp14:pctHeight>0</wp14:pctHeight>
            </wp14:sizeRelV>
          </wp:anchor>
        </w:drawing>
      </w:r>
    </w:p>
    <w:p w14:paraId="797DD768" w14:textId="1AC31E4D" w:rsidR="00B14518" w:rsidRDefault="00B14518" w:rsidP="005267D3">
      <w:pPr>
        <w:rPr>
          <w:rFonts w:ascii="SansaSoft Pro SemiBold" w:hAnsi="SansaSoft Pro SemiBold"/>
          <w:kern w:val="28"/>
          <w:sz w:val="44"/>
          <w:szCs w:val="32"/>
        </w:rPr>
      </w:pPr>
      <w:r>
        <w:br w:type="page"/>
      </w:r>
    </w:p>
    <w:p w14:paraId="0B4083DC" w14:textId="77777777" w:rsidR="002F2C79" w:rsidRDefault="002F2C79" w:rsidP="002F2C79">
      <w:pPr>
        <w:pStyle w:val="Header"/>
        <w:spacing w:line="240" w:lineRule="auto"/>
        <w:jc w:val="center"/>
        <w:rPr>
          <w:rFonts w:ascii="SansaSoft Pro SemiBold" w:hAnsi="SansaSoft Pro SemiBold" w:cs="Arial"/>
          <w:sz w:val="44"/>
          <w:szCs w:val="44"/>
        </w:rPr>
      </w:pPr>
    </w:p>
    <w:p w14:paraId="450F3E34" w14:textId="77777777" w:rsidR="002F2C79" w:rsidRDefault="002F2C79" w:rsidP="002F2C79">
      <w:pPr>
        <w:pStyle w:val="Header"/>
        <w:tabs>
          <w:tab w:val="clear" w:pos="9026"/>
        </w:tabs>
        <w:spacing w:line="240" w:lineRule="auto"/>
        <w:jc w:val="center"/>
        <w:rPr>
          <w:rFonts w:ascii="SansaSoft Pro SemiBold" w:hAnsi="SansaSoft Pro SemiBold" w:cs="Arial"/>
          <w:sz w:val="44"/>
          <w:szCs w:val="44"/>
        </w:rPr>
      </w:pPr>
    </w:p>
    <w:p w14:paraId="3B87D315" w14:textId="77777777" w:rsidR="002F2C79" w:rsidRDefault="002F2C79" w:rsidP="002F2C79">
      <w:pPr>
        <w:pStyle w:val="Header"/>
        <w:spacing w:line="240" w:lineRule="auto"/>
        <w:jc w:val="center"/>
        <w:rPr>
          <w:rFonts w:ascii="SansaSoft Pro SemiBold" w:hAnsi="SansaSoft Pro SemiBold" w:cs="Arial"/>
          <w:sz w:val="44"/>
          <w:szCs w:val="44"/>
        </w:rPr>
      </w:pPr>
    </w:p>
    <w:p w14:paraId="7297C0E9" w14:textId="3A385E79" w:rsidR="00691CF0" w:rsidRPr="005267D3" w:rsidRDefault="00691CF0" w:rsidP="002F2C79">
      <w:pPr>
        <w:pStyle w:val="Header"/>
        <w:spacing w:after="0" w:line="240" w:lineRule="auto"/>
        <w:jc w:val="center"/>
        <w:rPr>
          <w:rFonts w:ascii="SansaSoft Pro SemiBold" w:hAnsi="SansaSoft Pro SemiBold"/>
          <w:sz w:val="44"/>
          <w:szCs w:val="44"/>
        </w:rPr>
      </w:pPr>
      <w:r w:rsidRPr="005267D3">
        <w:rPr>
          <w:rFonts w:ascii="SansaSoft Pro SemiBold" w:hAnsi="SansaSoft Pro SemiBold"/>
          <w:sz w:val="44"/>
          <w:szCs w:val="44"/>
        </w:rPr>
        <w:t xml:space="preserve">Discussion paper on the </w:t>
      </w:r>
      <w:r w:rsidRPr="00473ADB">
        <w:rPr>
          <w:rFonts w:ascii="SansaSoft Pro SemiBold" w:hAnsi="SansaSoft Pro SemiBold"/>
          <w:i/>
          <w:sz w:val="44"/>
          <w:szCs w:val="44"/>
        </w:rPr>
        <w:t>2020 Review of the Disability Standards for Education 2005</w:t>
      </w:r>
    </w:p>
    <w:p w14:paraId="3ECB9694" w14:textId="77777777" w:rsidR="00D43C47" w:rsidRPr="007B7B14" w:rsidRDefault="00D43C47" w:rsidP="002F2C79">
      <w:pPr>
        <w:pStyle w:val="Header"/>
        <w:spacing w:after="0" w:line="240" w:lineRule="auto"/>
      </w:pPr>
    </w:p>
    <w:p w14:paraId="235C78CB" w14:textId="1E8EB71E" w:rsidR="00D43C47" w:rsidRDefault="00D43C47" w:rsidP="002F2C79">
      <w:pPr>
        <w:pStyle w:val="Header"/>
        <w:spacing w:after="0" w:line="240" w:lineRule="auto"/>
      </w:pPr>
    </w:p>
    <w:p w14:paraId="6413AA60" w14:textId="77777777" w:rsidR="00CE5F63" w:rsidRPr="007B7B14" w:rsidRDefault="00CE5F63" w:rsidP="002F2C79">
      <w:pPr>
        <w:pStyle w:val="Header"/>
        <w:spacing w:after="0" w:line="240" w:lineRule="auto"/>
      </w:pPr>
    </w:p>
    <w:p w14:paraId="7E245CF3" w14:textId="77777777" w:rsidR="00D43C47" w:rsidRPr="007B7B14" w:rsidRDefault="00D43C47" w:rsidP="002F2C79">
      <w:pPr>
        <w:pStyle w:val="Header"/>
        <w:spacing w:after="0" w:line="240" w:lineRule="auto"/>
      </w:pPr>
    </w:p>
    <w:p w14:paraId="368CFEFC" w14:textId="1C5758DC" w:rsidR="00691CF0" w:rsidRDefault="00CA68AC" w:rsidP="00A079F1">
      <w:pPr>
        <w:pStyle w:val="Header"/>
        <w:spacing w:after="0" w:line="240" w:lineRule="auto"/>
        <w:jc w:val="center"/>
      </w:pPr>
      <w:r>
        <w:t>September 2020</w:t>
      </w:r>
    </w:p>
    <w:p w14:paraId="5DF8B946" w14:textId="7D177398" w:rsidR="00A079F1" w:rsidRDefault="00A079F1" w:rsidP="00A079F1">
      <w:pPr>
        <w:pStyle w:val="Header"/>
        <w:spacing w:after="0" w:line="240" w:lineRule="auto"/>
        <w:jc w:val="center"/>
      </w:pPr>
    </w:p>
    <w:p w14:paraId="07BA89A1" w14:textId="77777777" w:rsidR="00A079F1" w:rsidRPr="007B7B14" w:rsidRDefault="00A079F1" w:rsidP="00A079F1">
      <w:pPr>
        <w:pStyle w:val="Header"/>
        <w:spacing w:after="0" w:line="240" w:lineRule="auto"/>
        <w:jc w:val="center"/>
        <w:rPr>
          <w:sz w:val="32"/>
        </w:rPr>
      </w:pPr>
    </w:p>
    <w:p w14:paraId="5A1ECE68" w14:textId="77777777" w:rsidR="00691CF0" w:rsidRPr="005267D3" w:rsidRDefault="00691CF0" w:rsidP="00CE5F63">
      <w:pPr>
        <w:pStyle w:val="Header"/>
        <w:spacing w:after="0" w:line="240" w:lineRule="auto"/>
        <w:rPr>
          <w:b/>
        </w:rPr>
      </w:pPr>
    </w:p>
    <w:p w14:paraId="6AE142D8" w14:textId="3D253F54" w:rsidR="00691CF0" w:rsidRPr="005267D3" w:rsidRDefault="00A079F1" w:rsidP="00CE5F63">
      <w:pPr>
        <w:pStyle w:val="Header"/>
        <w:spacing w:after="0" w:line="240" w:lineRule="auto"/>
        <w:rPr>
          <w:b/>
        </w:rPr>
      </w:pPr>
      <w:r>
        <w:rPr>
          <w:b/>
        </w:rPr>
        <w:t>Discussion paper</w:t>
      </w:r>
      <w:r w:rsidRPr="005267D3">
        <w:rPr>
          <w:b/>
        </w:rPr>
        <w:t xml:space="preserve"> </w:t>
      </w:r>
      <w:r w:rsidR="00691CF0" w:rsidRPr="005267D3">
        <w:rPr>
          <w:b/>
        </w:rPr>
        <w:t>prepared by:</w:t>
      </w:r>
    </w:p>
    <w:p w14:paraId="51B37B40" w14:textId="77777777" w:rsidR="005267D3" w:rsidRPr="006B2AC7" w:rsidRDefault="005267D3" w:rsidP="002F2C79">
      <w:pPr>
        <w:spacing w:after="0" w:line="240" w:lineRule="auto"/>
      </w:pPr>
    </w:p>
    <w:p w14:paraId="6D8C2628" w14:textId="77777777" w:rsidR="005267D3" w:rsidRPr="006B2AC7" w:rsidRDefault="005267D3" w:rsidP="002F2C79">
      <w:pPr>
        <w:spacing w:after="0" w:line="240" w:lineRule="auto"/>
      </w:pPr>
      <w:r w:rsidRPr="006B2AC7">
        <w:t>The National Centre for Student Equity in Higher Education (NCSEHE)</w:t>
      </w:r>
    </w:p>
    <w:p w14:paraId="34A0B98E" w14:textId="77777777" w:rsidR="005267D3" w:rsidRPr="006B2AC7" w:rsidRDefault="005267D3" w:rsidP="002F2C79">
      <w:pPr>
        <w:spacing w:after="0" w:line="240" w:lineRule="auto"/>
      </w:pPr>
    </w:p>
    <w:p w14:paraId="4CD15290" w14:textId="70720BEC" w:rsidR="005D738A" w:rsidRDefault="005D738A" w:rsidP="005D738A">
      <w:pPr>
        <w:spacing w:line="276" w:lineRule="auto"/>
        <w:rPr>
          <w:rFonts w:ascii="Calibri" w:hAnsi="Calibri"/>
        </w:rPr>
      </w:pPr>
      <w:r>
        <w:t xml:space="preserve">This </w:t>
      </w:r>
      <w:r w:rsidR="00A079F1">
        <w:t>discussion paper</w:t>
      </w:r>
      <w:r>
        <w:t xml:space="preserve"> has been pre</w:t>
      </w:r>
      <w:r w:rsidR="00A079F1">
        <w:t xml:space="preserve">pared by Dr Paul Koshy, Dr Catherine </w:t>
      </w:r>
      <w:proofErr w:type="spellStart"/>
      <w:r w:rsidR="00A079F1">
        <w:t>Drane</w:t>
      </w:r>
      <w:proofErr w:type="spellEnd"/>
      <w:r w:rsidR="00A079F1">
        <w:t xml:space="preserve">, Dr Nicole Crawford and </w:t>
      </w:r>
      <w:r>
        <w:t>Mr Matt Brett on behalf of the</w:t>
      </w:r>
      <w:r w:rsidR="00A079F1">
        <w:t xml:space="preserve"> NCSEHE</w:t>
      </w:r>
      <w:r>
        <w:t>.</w:t>
      </w:r>
    </w:p>
    <w:p w14:paraId="05191459" w14:textId="77777777" w:rsidR="005267D3" w:rsidRDefault="005267D3" w:rsidP="002F2C79">
      <w:pPr>
        <w:spacing w:after="0" w:line="240" w:lineRule="auto"/>
      </w:pPr>
    </w:p>
    <w:p w14:paraId="2E2E5142" w14:textId="2E9739AA" w:rsidR="005267D3" w:rsidRDefault="005267D3" w:rsidP="002F2C79">
      <w:pPr>
        <w:spacing w:after="0" w:line="240" w:lineRule="auto"/>
      </w:pPr>
    </w:p>
    <w:p w14:paraId="7A8C0885" w14:textId="77777777" w:rsidR="00CE5F63" w:rsidRDefault="00CE5F63" w:rsidP="002F2C79">
      <w:pPr>
        <w:spacing w:after="0" w:line="240" w:lineRule="auto"/>
      </w:pPr>
    </w:p>
    <w:p w14:paraId="41F009EC" w14:textId="77777777" w:rsidR="005267D3" w:rsidRDefault="005267D3" w:rsidP="002F2C79">
      <w:pPr>
        <w:spacing w:after="0" w:line="240" w:lineRule="auto"/>
      </w:pPr>
    </w:p>
    <w:p w14:paraId="5731E1F8" w14:textId="77777777" w:rsidR="005267D3" w:rsidRDefault="005267D3" w:rsidP="002F2C79">
      <w:pPr>
        <w:spacing w:after="0" w:line="240" w:lineRule="auto"/>
      </w:pPr>
    </w:p>
    <w:p w14:paraId="2FB6D0AB" w14:textId="77777777" w:rsidR="005267D3" w:rsidRPr="00C941E0" w:rsidRDefault="005267D3" w:rsidP="002F2C79">
      <w:pPr>
        <w:spacing w:after="0" w:line="240" w:lineRule="auto"/>
        <w:rPr>
          <w:rFonts w:cs="Arial"/>
          <w:sz w:val="18"/>
          <w:szCs w:val="18"/>
        </w:rPr>
      </w:pPr>
    </w:p>
    <w:p w14:paraId="62934746" w14:textId="77777777" w:rsidR="00A079F1" w:rsidRDefault="00A079F1" w:rsidP="002F2C79">
      <w:pPr>
        <w:kinsoku w:val="0"/>
        <w:overflowPunct w:val="0"/>
        <w:autoSpaceDE w:val="0"/>
        <w:autoSpaceDN w:val="0"/>
        <w:adjustRightInd w:val="0"/>
        <w:spacing w:after="0" w:line="240" w:lineRule="auto"/>
        <w:ind w:left="40"/>
        <w:rPr>
          <w:rFonts w:cs="Arial"/>
          <w:color w:val="212121"/>
          <w:sz w:val="18"/>
          <w:szCs w:val="18"/>
          <w:lang w:val="en-GB"/>
        </w:rPr>
      </w:pPr>
    </w:p>
    <w:p w14:paraId="401B547D" w14:textId="77777777" w:rsidR="00A079F1" w:rsidRDefault="00A079F1" w:rsidP="002F2C79">
      <w:pPr>
        <w:kinsoku w:val="0"/>
        <w:overflowPunct w:val="0"/>
        <w:autoSpaceDE w:val="0"/>
        <w:autoSpaceDN w:val="0"/>
        <w:adjustRightInd w:val="0"/>
        <w:spacing w:after="0" w:line="240" w:lineRule="auto"/>
        <w:ind w:left="40"/>
        <w:rPr>
          <w:rFonts w:cs="Arial"/>
          <w:color w:val="212121"/>
          <w:sz w:val="18"/>
          <w:szCs w:val="18"/>
          <w:lang w:val="en-GB"/>
        </w:rPr>
      </w:pPr>
    </w:p>
    <w:p w14:paraId="65441883" w14:textId="77777777" w:rsidR="00A079F1" w:rsidRDefault="00A079F1" w:rsidP="002F2C79">
      <w:pPr>
        <w:kinsoku w:val="0"/>
        <w:overflowPunct w:val="0"/>
        <w:autoSpaceDE w:val="0"/>
        <w:autoSpaceDN w:val="0"/>
        <w:adjustRightInd w:val="0"/>
        <w:spacing w:after="0" w:line="240" w:lineRule="auto"/>
        <w:ind w:left="40"/>
        <w:rPr>
          <w:rFonts w:cs="Arial"/>
          <w:color w:val="212121"/>
          <w:sz w:val="18"/>
          <w:szCs w:val="18"/>
          <w:lang w:val="en-GB"/>
        </w:rPr>
      </w:pPr>
    </w:p>
    <w:p w14:paraId="13700757" w14:textId="78EADD98" w:rsidR="005267D3" w:rsidRPr="00C941E0" w:rsidRDefault="005267D3" w:rsidP="002F2C79">
      <w:pPr>
        <w:kinsoku w:val="0"/>
        <w:overflowPunct w:val="0"/>
        <w:autoSpaceDE w:val="0"/>
        <w:autoSpaceDN w:val="0"/>
        <w:adjustRightInd w:val="0"/>
        <w:spacing w:after="0" w:line="240" w:lineRule="auto"/>
        <w:ind w:left="40"/>
        <w:rPr>
          <w:rFonts w:cs="Arial"/>
          <w:color w:val="212121"/>
          <w:sz w:val="18"/>
          <w:szCs w:val="18"/>
          <w:lang w:val="en-GB"/>
        </w:rPr>
      </w:pPr>
      <w:r w:rsidRPr="00C941E0">
        <w:rPr>
          <w:rFonts w:cs="Arial"/>
          <w:color w:val="212121"/>
          <w:sz w:val="18"/>
          <w:szCs w:val="18"/>
          <w:lang w:val="en-GB"/>
        </w:rPr>
        <w:t>National Centre for Student Equity in Higher Education</w:t>
      </w:r>
    </w:p>
    <w:p w14:paraId="4BD65891" w14:textId="77777777" w:rsidR="005267D3" w:rsidRPr="00873182" w:rsidRDefault="006652C1" w:rsidP="002F2C79">
      <w:pPr>
        <w:kinsoku w:val="0"/>
        <w:overflowPunct w:val="0"/>
        <w:autoSpaceDE w:val="0"/>
        <w:autoSpaceDN w:val="0"/>
        <w:adjustRightInd w:val="0"/>
        <w:spacing w:after="0" w:line="240" w:lineRule="auto"/>
        <w:ind w:left="39"/>
        <w:rPr>
          <w:rFonts w:cs="Arial"/>
          <w:color w:val="B79000" w:themeColor="accent2" w:themeShade="BF"/>
          <w:sz w:val="18"/>
          <w:szCs w:val="18"/>
          <w:lang w:val="en-GB"/>
        </w:rPr>
      </w:pPr>
      <w:hyperlink r:id="rId9" w:history="1">
        <w:r w:rsidR="005267D3" w:rsidRPr="00873182">
          <w:rPr>
            <w:rStyle w:val="Hyperlink"/>
            <w:rFonts w:cs="Arial"/>
            <w:color w:val="B79000" w:themeColor="accent2" w:themeShade="BF"/>
            <w:sz w:val="18"/>
            <w:szCs w:val="18"/>
            <w:lang w:val="en-GB"/>
          </w:rPr>
          <w:t>ncsehe.edu.au</w:t>
        </w:r>
      </w:hyperlink>
    </w:p>
    <w:p w14:paraId="791082D9" w14:textId="77777777" w:rsidR="005267D3" w:rsidRPr="00C941E0" w:rsidRDefault="005267D3" w:rsidP="002F2C79">
      <w:pPr>
        <w:kinsoku w:val="0"/>
        <w:overflowPunct w:val="0"/>
        <w:autoSpaceDE w:val="0"/>
        <w:autoSpaceDN w:val="0"/>
        <w:adjustRightInd w:val="0"/>
        <w:spacing w:after="0" w:line="240" w:lineRule="auto"/>
        <w:ind w:left="39"/>
        <w:rPr>
          <w:rFonts w:cs="Arial"/>
          <w:color w:val="212121"/>
          <w:sz w:val="18"/>
          <w:szCs w:val="18"/>
          <w:lang w:val="en-GB"/>
        </w:rPr>
      </w:pPr>
      <w:r w:rsidRPr="00C941E0">
        <w:rPr>
          <w:rFonts w:cs="Arial"/>
          <w:color w:val="212121"/>
          <w:sz w:val="18"/>
          <w:szCs w:val="18"/>
          <w:lang w:val="en-GB"/>
        </w:rPr>
        <w:t>Tel: +61 8 9266 1573</w:t>
      </w:r>
    </w:p>
    <w:p w14:paraId="0978A650" w14:textId="77777777" w:rsidR="005267D3" w:rsidRPr="00C941E0" w:rsidRDefault="005267D3" w:rsidP="002F2C79">
      <w:pPr>
        <w:kinsoku w:val="0"/>
        <w:overflowPunct w:val="0"/>
        <w:autoSpaceDE w:val="0"/>
        <w:autoSpaceDN w:val="0"/>
        <w:adjustRightInd w:val="0"/>
        <w:spacing w:after="0" w:line="240" w:lineRule="auto"/>
        <w:ind w:left="40" w:right="5748" w:hanging="1"/>
        <w:rPr>
          <w:rFonts w:cs="Arial"/>
          <w:color w:val="212121"/>
          <w:sz w:val="18"/>
          <w:szCs w:val="18"/>
          <w:lang w:val="en-GB"/>
        </w:rPr>
      </w:pPr>
      <w:r w:rsidRPr="00C941E0">
        <w:rPr>
          <w:rFonts w:cs="Arial"/>
          <w:color w:val="212121"/>
          <w:sz w:val="18"/>
          <w:szCs w:val="18"/>
          <w:lang w:val="en-GB"/>
        </w:rPr>
        <w:t xml:space="preserve">Email: </w:t>
      </w:r>
      <w:hyperlink r:id="rId10" w:history="1">
        <w:r w:rsidRPr="00CA68AC">
          <w:rPr>
            <w:rFonts w:cs="Arial"/>
            <w:color w:val="B79000" w:themeColor="accent2" w:themeShade="BF"/>
            <w:sz w:val="18"/>
            <w:szCs w:val="18"/>
            <w:u w:val="single"/>
            <w:lang w:val="en-GB"/>
          </w:rPr>
          <w:t>ncsehe@curtin.edu.au</w:t>
        </w:r>
      </w:hyperlink>
      <w:r w:rsidRPr="00CA68AC">
        <w:rPr>
          <w:rFonts w:cs="Arial"/>
          <w:color w:val="B79000" w:themeColor="accent2" w:themeShade="BF"/>
          <w:sz w:val="18"/>
          <w:szCs w:val="18"/>
          <w:lang w:val="en-GB"/>
        </w:rPr>
        <w:t xml:space="preserve"> </w:t>
      </w:r>
    </w:p>
    <w:p w14:paraId="7490F8B1" w14:textId="77777777" w:rsidR="005267D3" w:rsidRPr="00C941E0" w:rsidRDefault="005267D3" w:rsidP="002F2C79">
      <w:pPr>
        <w:kinsoku w:val="0"/>
        <w:overflowPunct w:val="0"/>
        <w:autoSpaceDE w:val="0"/>
        <w:autoSpaceDN w:val="0"/>
        <w:adjustRightInd w:val="0"/>
        <w:spacing w:after="0" w:line="240" w:lineRule="auto"/>
        <w:ind w:left="39" w:right="5272"/>
        <w:rPr>
          <w:rFonts w:cs="Arial"/>
          <w:color w:val="212121"/>
          <w:sz w:val="18"/>
          <w:szCs w:val="18"/>
          <w:lang w:val="en-GB"/>
        </w:rPr>
      </w:pPr>
      <w:r w:rsidRPr="00C941E0">
        <w:rPr>
          <w:rFonts w:cs="Arial"/>
          <w:color w:val="212121"/>
          <w:sz w:val="18"/>
          <w:szCs w:val="18"/>
          <w:lang w:val="en-GB"/>
        </w:rPr>
        <w:t xml:space="preserve">Technology Park, Enterprise Unit 4 (Building 602) </w:t>
      </w:r>
    </w:p>
    <w:p w14:paraId="78A18FE4" w14:textId="77777777" w:rsidR="005267D3" w:rsidRPr="00C941E0" w:rsidRDefault="005267D3" w:rsidP="002F2C79">
      <w:pPr>
        <w:kinsoku w:val="0"/>
        <w:overflowPunct w:val="0"/>
        <w:autoSpaceDE w:val="0"/>
        <w:autoSpaceDN w:val="0"/>
        <w:adjustRightInd w:val="0"/>
        <w:spacing w:after="0" w:line="240" w:lineRule="auto"/>
        <w:ind w:left="39" w:right="5272"/>
        <w:rPr>
          <w:rFonts w:cs="Arial"/>
          <w:color w:val="212121"/>
          <w:sz w:val="18"/>
          <w:szCs w:val="18"/>
          <w:lang w:val="en-GB"/>
        </w:rPr>
      </w:pPr>
      <w:r w:rsidRPr="00C941E0">
        <w:rPr>
          <w:rFonts w:cs="Arial"/>
          <w:color w:val="212121"/>
          <w:sz w:val="18"/>
          <w:szCs w:val="18"/>
          <w:lang w:val="en-GB"/>
        </w:rPr>
        <w:t xml:space="preserve">9 De </w:t>
      </w:r>
      <w:proofErr w:type="spellStart"/>
      <w:r w:rsidRPr="00C941E0">
        <w:rPr>
          <w:rFonts w:cs="Arial"/>
          <w:color w:val="212121"/>
          <w:sz w:val="18"/>
          <w:szCs w:val="18"/>
          <w:lang w:val="en-GB"/>
        </w:rPr>
        <w:t>Laeter</w:t>
      </w:r>
      <w:proofErr w:type="spellEnd"/>
      <w:r w:rsidRPr="00C941E0">
        <w:rPr>
          <w:rFonts w:cs="Arial"/>
          <w:color w:val="212121"/>
          <w:sz w:val="18"/>
          <w:szCs w:val="18"/>
          <w:lang w:val="en-GB"/>
        </w:rPr>
        <w:t xml:space="preserve"> Way Bentley WA 6102</w:t>
      </w:r>
    </w:p>
    <w:p w14:paraId="691A05C0" w14:textId="77777777" w:rsidR="005267D3" w:rsidRPr="00C941E0" w:rsidRDefault="005267D3" w:rsidP="002F2C79">
      <w:pPr>
        <w:kinsoku w:val="0"/>
        <w:overflowPunct w:val="0"/>
        <w:autoSpaceDE w:val="0"/>
        <w:autoSpaceDN w:val="0"/>
        <w:adjustRightInd w:val="0"/>
        <w:spacing w:after="0" w:line="240" w:lineRule="auto"/>
        <w:ind w:left="39"/>
        <w:rPr>
          <w:rFonts w:cs="Arial"/>
          <w:color w:val="212121"/>
          <w:sz w:val="18"/>
          <w:szCs w:val="18"/>
          <w:lang w:val="en-GB"/>
        </w:rPr>
      </w:pPr>
      <w:r w:rsidRPr="00C941E0">
        <w:rPr>
          <w:rFonts w:cs="Arial"/>
          <w:color w:val="212121"/>
          <w:sz w:val="18"/>
          <w:szCs w:val="18"/>
          <w:lang w:val="en-GB"/>
        </w:rPr>
        <w:t>GPO Box U1987 Perth WA 6845</w:t>
      </w:r>
    </w:p>
    <w:p w14:paraId="265B948E" w14:textId="77777777" w:rsidR="005267D3" w:rsidRDefault="005267D3" w:rsidP="002F2C79">
      <w:pPr>
        <w:pStyle w:val="Default"/>
        <w:rPr>
          <w:b/>
          <w:bCs/>
          <w:color w:val="1F1F1F"/>
          <w:sz w:val="16"/>
          <w:szCs w:val="16"/>
        </w:rPr>
      </w:pPr>
    </w:p>
    <w:p w14:paraId="0208B0EC" w14:textId="42A8D816" w:rsidR="00B32767" w:rsidRDefault="00B32767" w:rsidP="002F2C79">
      <w:pPr>
        <w:pStyle w:val="Default"/>
        <w:rPr>
          <w:b/>
          <w:bCs/>
          <w:color w:val="1F1F1F"/>
          <w:sz w:val="16"/>
          <w:szCs w:val="16"/>
        </w:rPr>
      </w:pPr>
    </w:p>
    <w:p w14:paraId="718E1DE2" w14:textId="77777777" w:rsidR="00B32767" w:rsidRDefault="00B32767" w:rsidP="00B32767">
      <w:pPr>
        <w:pStyle w:val="Default"/>
        <w:ind w:left="156"/>
        <w:rPr>
          <w:b/>
          <w:bCs/>
          <w:color w:val="1F1F1F"/>
          <w:sz w:val="16"/>
          <w:szCs w:val="16"/>
        </w:rPr>
      </w:pPr>
      <w:r w:rsidRPr="00C941E0">
        <w:rPr>
          <w:b/>
          <w:bCs/>
          <w:noProof/>
          <w:color w:val="B79000" w:themeColor="accent2" w:themeShade="BF"/>
          <w:sz w:val="16"/>
          <w:szCs w:val="16"/>
          <w:lang w:eastAsia="en-AU"/>
        </w:rPr>
        <mc:AlternateContent>
          <mc:Choice Requires="wps">
            <w:drawing>
              <wp:anchor distT="0" distB="0" distL="114300" distR="114300" simplePos="0" relativeHeight="251659264" behindDoc="1" locked="0" layoutInCell="1" allowOverlap="1" wp14:anchorId="584ED0EF" wp14:editId="349F098C">
                <wp:simplePos x="0" y="0"/>
                <wp:positionH relativeFrom="column">
                  <wp:posOffset>-899</wp:posOffset>
                </wp:positionH>
                <wp:positionV relativeFrom="paragraph">
                  <wp:posOffset>24907</wp:posOffset>
                </wp:positionV>
                <wp:extent cx="6163945" cy="1530849"/>
                <wp:effectExtent l="0" t="0" r="27305" b="12700"/>
                <wp:wrapNone/>
                <wp:docPr id="7" name="Rectangle 7" title="Decoration"/>
                <wp:cNvGraphicFramePr/>
                <a:graphic xmlns:a="http://schemas.openxmlformats.org/drawingml/2006/main">
                  <a:graphicData uri="http://schemas.microsoft.com/office/word/2010/wordprocessingShape">
                    <wps:wsp>
                      <wps:cNvSpPr/>
                      <wps:spPr>
                        <a:xfrm>
                          <a:off x="0" y="0"/>
                          <a:ext cx="6163945" cy="1530849"/>
                        </a:xfrm>
                        <a:prstGeom prst="rect">
                          <a:avLst/>
                        </a:prstGeom>
                        <a:noFill/>
                        <a:ln>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98E03" id="Rectangle 7" o:spid="_x0000_s1026" alt="Title: Decoration" style="position:absolute;margin-left:-.05pt;margin-top:1.95pt;width:485.35pt;height:12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" filled="f" strokecolor="#b79000 [2405]" strokeweight="2pt"/>
            </w:pict>
          </mc:Fallback>
        </mc:AlternateContent>
      </w:r>
    </w:p>
    <w:p w14:paraId="741D582A" w14:textId="77777777" w:rsidR="00B32767" w:rsidRPr="00122F03" w:rsidRDefault="00B32767" w:rsidP="00B32767">
      <w:pPr>
        <w:pStyle w:val="Default"/>
        <w:ind w:left="156"/>
        <w:rPr>
          <w:rFonts w:ascii="Arial" w:hAnsi="Arial" w:cs="Arial"/>
          <w:color w:val="1F1F1F"/>
          <w:sz w:val="18"/>
          <w:szCs w:val="18"/>
        </w:rPr>
      </w:pPr>
      <w:r w:rsidRPr="00122F03">
        <w:rPr>
          <w:rFonts w:ascii="Arial" w:hAnsi="Arial" w:cs="Arial"/>
          <w:b/>
          <w:bCs/>
          <w:color w:val="1F1F1F"/>
          <w:sz w:val="18"/>
          <w:szCs w:val="18"/>
        </w:rPr>
        <w:t xml:space="preserve">DISCLAIMER </w:t>
      </w:r>
    </w:p>
    <w:p w14:paraId="24CC4735" w14:textId="77777777" w:rsidR="00B32767" w:rsidRPr="00122F03" w:rsidRDefault="00B32767" w:rsidP="00B32767">
      <w:pPr>
        <w:pStyle w:val="Default"/>
        <w:ind w:left="156"/>
        <w:rPr>
          <w:rFonts w:ascii="Arial" w:hAnsi="Arial" w:cs="Arial"/>
          <w:color w:val="1F1F1F"/>
          <w:sz w:val="18"/>
          <w:szCs w:val="18"/>
        </w:rPr>
      </w:pPr>
      <w:r w:rsidRPr="00122F03">
        <w:rPr>
          <w:rFonts w:ascii="Arial" w:hAnsi="Arial" w:cs="Arial"/>
          <w:color w:val="1F1F1F"/>
          <w:sz w:val="18"/>
          <w:szCs w:val="18"/>
        </w:rPr>
        <w:t xml:space="preserve">Information in this publication is correct at the time of release but may be subject to change. This material does not purport to constitute legal or professional advice. </w:t>
      </w:r>
    </w:p>
    <w:p w14:paraId="4BD49126" w14:textId="77777777" w:rsidR="00B32767" w:rsidRPr="00122F03" w:rsidRDefault="00B32767" w:rsidP="00B32767">
      <w:pPr>
        <w:pStyle w:val="Default"/>
        <w:ind w:left="156"/>
        <w:rPr>
          <w:rFonts w:ascii="Arial" w:hAnsi="Arial" w:cs="Arial"/>
          <w:color w:val="1F1F1F"/>
          <w:sz w:val="18"/>
          <w:szCs w:val="18"/>
        </w:rPr>
      </w:pPr>
    </w:p>
    <w:p w14:paraId="34D130ED" w14:textId="77777777" w:rsidR="00B32767" w:rsidRPr="00122F03" w:rsidRDefault="00B32767" w:rsidP="00B32767">
      <w:pPr>
        <w:pStyle w:val="Default"/>
        <w:ind w:left="156"/>
        <w:rPr>
          <w:rFonts w:ascii="Arial" w:hAnsi="Arial" w:cs="Arial"/>
          <w:sz w:val="18"/>
          <w:szCs w:val="18"/>
        </w:rPr>
      </w:pPr>
      <w:r w:rsidRPr="00122F03">
        <w:rPr>
          <w:rFonts w:ascii="Arial" w:hAnsi="Arial" w:cs="Arial"/>
          <w:color w:val="1F1F1F"/>
          <w:sz w:val="18"/>
          <w:szCs w:val="18"/>
        </w:rPr>
        <w:t xml:space="preserve">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w:t>
      </w:r>
      <w:r>
        <w:rPr>
          <w:rFonts w:ascii="Arial" w:hAnsi="Arial" w:cs="Arial"/>
          <w:color w:val="1F1F1F"/>
          <w:sz w:val="18"/>
          <w:szCs w:val="18"/>
        </w:rPr>
        <w:br/>
      </w:r>
      <w:r w:rsidRPr="00122F03">
        <w:rPr>
          <w:rFonts w:ascii="Arial" w:hAnsi="Arial" w:cs="Arial"/>
          <w:color w:val="1F1F1F"/>
          <w:sz w:val="18"/>
          <w:szCs w:val="18"/>
        </w:rPr>
        <w:t>result directly or indirectly from the use of this publication.</w:t>
      </w:r>
    </w:p>
    <w:p w14:paraId="07B8ECC8" w14:textId="2831EBE2" w:rsidR="00C472C8" w:rsidRPr="00A079F1" w:rsidRDefault="00832593" w:rsidP="00A079F1">
      <w:r>
        <w:br w:type="page"/>
      </w:r>
    </w:p>
    <w:sdt>
      <w:sdtPr>
        <w:rPr>
          <w:rFonts w:asciiTheme="minorHAnsi" w:eastAsiaTheme="minorHAnsi" w:hAnsiTheme="minorHAnsi" w:cstheme="minorBidi"/>
          <w:bCs w:val="0"/>
          <w:color w:val="000000" w:themeColor="text1"/>
          <w:sz w:val="22"/>
          <w:szCs w:val="22"/>
          <w:lang w:val="en-AU" w:eastAsia="en-US"/>
        </w:rPr>
        <w:id w:val="-653991893"/>
        <w:docPartObj>
          <w:docPartGallery w:val="Table of Contents"/>
          <w:docPartUnique/>
        </w:docPartObj>
      </w:sdtPr>
      <w:sdtEndPr>
        <w:rPr>
          <w:rFonts w:ascii="Arial" w:hAnsi="Arial"/>
          <w:noProof/>
        </w:rPr>
      </w:sdtEndPr>
      <w:sdtContent>
        <w:p w14:paraId="02391B30" w14:textId="3FD0AFA7" w:rsidR="00417F94" w:rsidRDefault="00417F94" w:rsidP="005267D3">
          <w:pPr>
            <w:pStyle w:val="TOCHeading"/>
          </w:pPr>
          <w:r>
            <w:t>Table of Contents</w:t>
          </w:r>
        </w:p>
        <w:p w14:paraId="43EF6F3C" w14:textId="77777777" w:rsidR="00417F94" w:rsidRPr="00417F94" w:rsidRDefault="00417F94" w:rsidP="005267D3">
          <w:pPr>
            <w:rPr>
              <w:lang w:val="en-US" w:eastAsia="ja-JP"/>
            </w:rPr>
          </w:pPr>
        </w:p>
        <w:p w14:paraId="6BAB1879" w14:textId="434AAA73" w:rsidR="00417F94" w:rsidRPr="00417F94" w:rsidRDefault="00417F94" w:rsidP="005267D3">
          <w:pPr>
            <w:pStyle w:val="TOC1"/>
            <w:rPr>
              <w:rFonts w:asciiTheme="minorHAnsi" w:hAnsiTheme="minorHAnsi"/>
              <w:color w:val="auto"/>
            </w:rPr>
          </w:pPr>
          <w:r>
            <w:fldChar w:fldCharType="begin"/>
          </w:r>
          <w:r>
            <w:instrText xml:space="preserve"> TOC \o "1-3" \h \z \u </w:instrText>
          </w:r>
          <w:r>
            <w:fldChar w:fldCharType="separate"/>
          </w:r>
          <w:hyperlink w:anchor="_Toc51830717" w:history="1">
            <w:r w:rsidRPr="00417F94">
              <w:rPr>
                <w:rStyle w:val="Hyperlink"/>
              </w:rPr>
              <w:t>About the National Centre for Student Equity in Higher Education</w:t>
            </w:r>
            <w:r w:rsidRPr="00417F94">
              <w:rPr>
                <w:webHidden/>
              </w:rPr>
              <w:tab/>
            </w:r>
            <w:r w:rsidRPr="00417F94">
              <w:rPr>
                <w:webHidden/>
              </w:rPr>
              <w:fldChar w:fldCharType="begin"/>
            </w:r>
            <w:r w:rsidRPr="00417F94">
              <w:rPr>
                <w:webHidden/>
              </w:rPr>
              <w:instrText xml:space="preserve"> PAGEREF _Toc51830717 \h </w:instrText>
            </w:r>
            <w:r w:rsidRPr="00417F94">
              <w:rPr>
                <w:webHidden/>
              </w:rPr>
            </w:r>
            <w:r w:rsidRPr="00417F94">
              <w:rPr>
                <w:webHidden/>
              </w:rPr>
              <w:fldChar w:fldCharType="separate"/>
            </w:r>
            <w:r w:rsidR="00D32C9C">
              <w:rPr>
                <w:webHidden/>
              </w:rPr>
              <w:t>4</w:t>
            </w:r>
            <w:r w:rsidRPr="00417F94">
              <w:rPr>
                <w:webHidden/>
              </w:rPr>
              <w:fldChar w:fldCharType="end"/>
            </w:r>
          </w:hyperlink>
        </w:p>
        <w:p w14:paraId="1DD6CEFF" w14:textId="52F77F7A" w:rsidR="00417F94" w:rsidRPr="00417F94" w:rsidRDefault="006652C1" w:rsidP="005267D3">
          <w:pPr>
            <w:pStyle w:val="TOC1"/>
            <w:rPr>
              <w:rFonts w:asciiTheme="minorHAnsi" w:hAnsiTheme="minorHAnsi"/>
              <w:color w:val="auto"/>
            </w:rPr>
          </w:pPr>
          <w:hyperlink w:anchor="_Toc51830718" w:history="1">
            <w:r w:rsidR="00417F94" w:rsidRPr="00417F94">
              <w:rPr>
                <w:rStyle w:val="Hyperlink"/>
              </w:rPr>
              <w:t>Introduction</w:t>
            </w:r>
            <w:r w:rsidR="00417F94" w:rsidRPr="00417F94">
              <w:rPr>
                <w:webHidden/>
              </w:rPr>
              <w:tab/>
            </w:r>
            <w:r w:rsidR="00417F94" w:rsidRPr="00417F94">
              <w:rPr>
                <w:webHidden/>
              </w:rPr>
              <w:fldChar w:fldCharType="begin"/>
            </w:r>
            <w:r w:rsidR="00417F94" w:rsidRPr="00417F94">
              <w:rPr>
                <w:webHidden/>
              </w:rPr>
              <w:instrText xml:space="preserve"> PAGEREF _Toc51830718 \h </w:instrText>
            </w:r>
            <w:r w:rsidR="00417F94" w:rsidRPr="00417F94">
              <w:rPr>
                <w:webHidden/>
              </w:rPr>
            </w:r>
            <w:r w:rsidR="00417F94" w:rsidRPr="00417F94">
              <w:rPr>
                <w:webHidden/>
              </w:rPr>
              <w:fldChar w:fldCharType="separate"/>
            </w:r>
            <w:r w:rsidR="00D32C9C">
              <w:rPr>
                <w:webHidden/>
              </w:rPr>
              <w:t>5</w:t>
            </w:r>
            <w:r w:rsidR="00417F94" w:rsidRPr="00417F94">
              <w:rPr>
                <w:webHidden/>
              </w:rPr>
              <w:fldChar w:fldCharType="end"/>
            </w:r>
          </w:hyperlink>
        </w:p>
        <w:p w14:paraId="54CFDBFC" w14:textId="35BD0273" w:rsidR="00417F94" w:rsidRPr="00417F94" w:rsidRDefault="006652C1" w:rsidP="005267D3">
          <w:pPr>
            <w:pStyle w:val="TOC1"/>
            <w:rPr>
              <w:rFonts w:asciiTheme="minorHAnsi" w:hAnsiTheme="minorHAnsi"/>
              <w:color w:val="auto"/>
            </w:rPr>
          </w:pPr>
          <w:hyperlink w:anchor="_Toc51830719" w:history="1">
            <w:r w:rsidR="00417F94" w:rsidRPr="00417F94">
              <w:rPr>
                <w:rStyle w:val="Hyperlink"/>
              </w:rPr>
              <w:t>Disability in Australian Higher Education</w:t>
            </w:r>
            <w:r w:rsidR="00417F94" w:rsidRPr="00417F94">
              <w:rPr>
                <w:webHidden/>
              </w:rPr>
              <w:tab/>
            </w:r>
            <w:r w:rsidR="00417F94" w:rsidRPr="00417F94">
              <w:rPr>
                <w:webHidden/>
              </w:rPr>
              <w:fldChar w:fldCharType="begin"/>
            </w:r>
            <w:r w:rsidR="00417F94" w:rsidRPr="00417F94">
              <w:rPr>
                <w:webHidden/>
              </w:rPr>
              <w:instrText xml:space="preserve"> PAGEREF _Toc51830719 \h </w:instrText>
            </w:r>
            <w:r w:rsidR="00417F94" w:rsidRPr="00417F94">
              <w:rPr>
                <w:webHidden/>
              </w:rPr>
            </w:r>
            <w:r w:rsidR="00417F94" w:rsidRPr="00417F94">
              <w:rPr>
                <w:webHidden/>
              </w:rPr>
              <w:fldChar w:fldCharType="separate"/>
            </w:r>
            <w:r w:rsidR="00D32C9C">
              <w:rPr>
                <w:webHidden/>
              </w:rPr>
              <w:t>7</w:t>
            </w:r>
            <w:r w:rsidR="00417F94" w:rsidRPr="00417F94">
              <w:rPr>
                <w:webHidden/>
              </w:rPr>
              <w:fldChar w:fldCharType="end"/>
            </w:r>
          </w:hyperlink>
        </w:p>
        <w:p w14:paraId="45373A19" w14:textId="26FC6778" w:rsidR="00417F94" w:rsidRPr="00417F94" w:rsidRDefault="006652C1" w:rsidP="005267D3">
          <w:pPr>
            <w:pStyle w:val="TOC1"/>
            <w:rPr>
              <w:rFonts w:asciiTheme="minorHAnsi" w:hAnsiTheme="minorHAnsi"/>
              <w:color w:val="auto"/>
            </w:rPr>
          </w:pPr>
          <w:hyperlink w:anchor="_Toc51830720" w:history="1">
            <w:r w:rsidR="00417F94" w:rsidRPr="00417F94">
              <w:rPr>
                <w:rStyle w:val="Hyperlink"/>
              </w:rPr>
              <w:t>Higher Education and Disability Standards</w:t>
            </w:r>
            <w:r w:rsidR="00417F94" w:rsidRPr="00417F94">
              <w:rPr>
                <w:webHidden/>
              </w:rPr>
              <w:tab/>
            </w:r>
            <w:r w:rsidR="00417F94" w:rsidRPr="00417F94">
              <w:rPr>
                <w:webHidden/>
              </w:rPr>
              <w:fldChar w:fldCharType="begin"/>
            </w:r>
            <w:r w:rsidR="00417F94" w:rsidRPr="00417F94">
              <w:rPr>
                <w:webHidden/>
              </w:rPr>
              <w:instrText xml:space="preserve"> PAGEREF _Toc51830720 \h </w:instrText>
            </w:r>
            <w:r w:rsidR="00417F94" w:rsidRPr="00417F94">
              <w:rPr>
                <w:webHidden/>
              </w:rPr>
            </w:r>
            <w:r w:rsidR="00417F94" w:rsidRPr="00417F94">
              <w:rPr>
                <w:webHidden/>
              </w:rPr>
              <w:fldChar w:fldCharType="separate"/>
            </w:r>
            <w:r w:rsidR="00D32C9C">
              <w:rPr>
                <w:webHidden/>
              </w:rPr>
              <w:t>9</w:t>
            </w:r>
            <w:r w:rsidR="00417F94" w:rsidRPr="00417F94">
              <w:rPr>
                <w:webHidden/>
              </w:rPr>
              <w:fldChar w:fldCharType="end"/>
            </w:r>
          </w:hyperlink>
        </w:p>
        <w:p w14:paraId="72BCABF8" w14:textId="516F6A50" w:rsidR="00417F94" w:rsidRPr="00417F94" w:rsidRDefault="006652C1" w:rsidP="005267D3">
          <w:pPr>
            <w:pStyle w:val="TOC1"/>
            <w:rPr>
              <w:rFonts w:asciiTheme="minorHAnsi" w:hAnsiTheme="minorHAnsi"/>
              <w:color w:val="auto"/>
            </w:rPr>
          </w:pPr>
          <w:hyperlink w:anchor="_Toc51830721" w:history="1">
            <w:r w:rsidR="00417F94" w:rsidRPr="00417F94">
              <w:rPr>
                <w:rStyle w:val="Hyperlink"/>
              </w:rPr>
              <w:t>Defining Disability</w:t>
            </w:r>
            <w:r w:rsidR="00417F94" w:rsidRPr="00417F94">
              <w:rPr>
                <w:webHidden/>
              </w:rPr>
              <w:tab/>
            </w:r>
            <w:r w:rsidR="00417F94" w:rsidRPr="00417F94">
              <w:rPr>
                <w:webHidden/>
              </w:rPr>
              <w:fldChar w:fldCharType="begin"/>
            </w:r>
            <w:r w:rsidR="00417F94" w:rsidRPr="00417F94">
              <w:rPr>
                <w:webHidden/>
              </w:rPr>
              <w:instrText xml:space="preserve"> PAGEREF _Toc51830721 \h </w:instrText>
            </w:r>
            <w:r w:rsidR="00417F94" w:rsidRPr="00417F94">
              <w:rPr>
                <w:webHidden/>
              </w:rPr>
            </w:r>
            <w:r w:rsidR="00417F94" w:rsidRPr="00417F94">
              <w:rPr>
                <w:webHidden/>
              </w:rPr>
              <w:fldChar w:fldCharType="separate"/>
            </w:r>
            <w:r w:rsidR="00D32C9C">
              <w:rPr>
                <w:webHidden/>
              </w:rPr>
              <w:t>11</w:t>
            </w:r>
            <w:r w:rsidR="00417F94" w:rsidRPr="00417F94">
              <w:rPr>
                <w:webHidden/>
              </w:rPr>
              <w:fldChar w:fldCharType="end"/>
            </w:r>
          </w:hyperlink>
        </w:p>
        <w:p w14:paraId="4B1E2F98" w14:textId="6B50A09B" w:rsidR="00417F94" w:rsidRPr="00417F94" w:rsidRDefault="006652C1" w:rsidP="005267D3">
          <w:pPr>
            <w:pStyle w:val="TOC1"/>
            <w:rPr>
              <w:rFonts w:asciiTheme="minorHAnsi" w:hAnsiTheme="minorHAnsi"/>
              <w:color w:val="auto"/>
            </w:rPr>
          </w:pPr>
          <w:hyperlink w:anchor="_Toc51830722" w:history="1">
            <w:r w:rsidR="00417F94" w:rsidRPr="00417F94">
              <w:rPr>
                <w:rStyle w:val="Hyperlink"/>
              </w:rPr>
              <w:t>Identification of Disability</w:t>
            </w:r>
            <w:r w:rsidR="00417F94" w:rsidRPr="00417F94">
              <w:rPr>
                <w:webHidden/>
              </w:rPr>
              <w:tab/>
            </w:r>
            <w:r w:rsidR="00417F94" w:rsidRPr="00417F94">
              <w:rPr>
                <w:webHidden/>
              </w:rPr>
              <w:fldChar w:fldCharType="begin"/>
            </w:r>
            <w:r w:rsidR="00417F94" w:rsidRPr="00417F94">
              <w:rPr>
                <w:webHidden/>
              </w:rPr>
              <w:instrText xml:space="preserve"> PAGEREF _Toc51830722 \h </w:instrText>
            </w:r>
            <w:r w:rsidR="00417F94" w:rsidRPr="00417F94">
              <w:rPr>
                <w:webHidden/>
              </w:rPr>
            </w:r>
            <w:r w:rsidR="00417F94" w:rsidRPr="00417F94">
              <w:rPr>
                <w:webHidden/>
              </w:rPr>
              <w:fldChar w:fldCharType="separate"/>
            </w:r>
            <w:r w:rsidR="00D32C9C">
              <w:rPr>
                <w:webHidden/>
              </w:rPr>
              <w:t>12</w:t>
            </w:r>
            <w:r w:rsidR="00417F94" w:rsidRPr="00417F94">
              <w:rPr>
                <w:webHidden/>
              </w:rPr>
              <w:fldChar w:fldCharType="end"/>
            </w:r>
          </w:hyperlink>
        </w:p>
        <w:p w14:paraId="6014C6A3" w14:textId="7BA75B22" w:rsidR="00417F94" w:rsidRPr="00417F94" w:rsidRDefault="006652C1" w:rsidP="005267D3">
          <w:pPr>
            <w:pStyle w:val="TOC1"/>
            <w:rPr>
              <w:rFonts w:asciiTheme="minorHAnsi" w:hAnsiTheme="minorHAnsi"/>
              <w:color w:val="auto"/>
            </w:rPr>
          </w:pPr>
          <w:hyperlink w:anchor="_Toc51830723" w:history="1">
            <w:r w:rsidR="00417F94" w:rsidRPr="00417F94">
              <w:rPr>
                <w:rStyle w:val="Hyperlink"/>
              </w:rPr>
              <w:t>Key Issues in Creating and Enforcing Standards in Higher Education</w:t>
            </w:r>
            <w:r w:rsidR="00417F94" w:rsidRPr="00417F94">
              <w:rPr>
                <w:webHidden/>
              </w:rPr>
              <w:tab/>
            </w:r>
            <w:r w:rsidR="00417F94" w:rsidRPr="00417F94">
              <w:rPr>
                <w:webHidden/>
              </w:rPr>
              <w:fldChar w:fldCharType="begin"/>
            </w:r>
            <w:r w:rsidR="00417F94" w:rsidRPr="00417F94">
              <w:rPr>
                <w:webHidden/>
              </w:rPr>
              <w:instrText xml:space="preserve"> PAGEREF _Toc51830723 \h </w:instrText>
            </w:r>
            <w:r w:rsidR="00417F94" w:rsidRPr="00417F94">
              <w:rPr>
                <w:webHidden/>
              </w:rPr>
            </w:r>
            <w:r w:rsidR="00417F94" w:rsidRPr="00417F94">
              <w:rPr>
                <w:webHidden/>
              </w:rPr>
              <w:fldChar w:fldCharType="separate"/>
            </w:r>
            <w:r w:rsidR="00D32C9C">
              <w:rPr>
                <w:webHidden/>
              </w:rPr>
              <w:t>14</w:t>
            </w:r>
            <w:r w:rsidR="00417F94" w:rsidRPr="00417F94">
              <w:rPr>
                <w:webHidden/>
              </w:rPr>
              <w:fldChar w:fldCharType="end"/>
            </w:r>
          </w:hyperlink>
        </w:p>
        <w:p w14:paraId="1815550D" w14:textId="29086DDA" w:rsidR="00417F94" w:rsidRPr="00417F94" w:rsidRDefault="006652C1" w:rsidP="005267D3">
          <w:pPr>
            <w:pStyle w:val="TOC2"/>
            <w:rPr>
              <w:noProof/>
              <w:color w:val="auto"/>
              <w:lang w:val="en-AU" w:eastAsia="en-AU"/>
            </w:rPr>
          </w:pPr>
          <w:hyperlink w:anchor="_Toc51830724" w:history="1">
            <w:r w:rsidR="00417F94" w:rsidRPr="00417F94">
              <w:rPr>
                <w:rStyle w:val="Hyperlink"/>
                <w:noProof/>
              </w:rPr>
              <w:t>Pre-Access</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_Toc51830724 \h </w:instrText>
            </w:r>
            <w:r w:rsidR="00417F94" w:rsidRPr="00417F94">
              <w:rPr>
                <w:noProof/>
                <w:webHidden/>
              </w:rPr>
            </w:r>
            <w:r w:rsidR="00417F94" w:rsidRPr="00417F94">
              <w:rPr>
                <w:noProof/>
                <w:webHidden/>
              </w:rPr>
              <w:fldChar w:fldCharType="separate"/>
            </w:r>
            <w:r w:rsidR="00D32C9C">
              <w:rPr>
                <w:noProof/>
                <w:webHidden/>
              </w:rPr>
              <w:t>15</w:t>
            </w:r>
            <w:r w:rsidR="00417F94" w:rsidRPr="00417F94">
              <w:rPr>
                <w:noProof/>
                <w:webHidden/>
              </w:rPr>
              <w:fldChar w:fldCharType="end"/>
            </w:r>
          </w:hyperlink>
        </w:p>
        <w:p w14:paraId="056C948A" w14:textId="7AC8E65A" w:rsidR="00417F94" w:rsidRPr="00417F94" w:rsidRDefault="006652C1" w:rsidP="005267D3">
          <w:pPr>
            <w:pStyle w:val="TOC2"/>
            <w:rPr>
              <w:noProof/>
              <w:color w:val="auto"/>
              <w:lang w:val="en-AU" w:eastAsia="en-AU"/>
            </w:rPr>
          </w:pPr>
          <w:hyperlink w:anchor="_Toc51830725" w:history="1">
            <w:r w:rsidR="00417F94" w:rsidRPr="00417F94">
              <w:rPr>
                <w:rStyle w:val="Hyperlink"/>
                <w:noProof/>
              </w:rPr>
              <w:t>Access and Enrolment</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_Toc51830725 \h </w:instrText>
            </w:r>
            <w:r w:rsidR="00417F94" w:rsidRPr="00417F94">
              <w:rPr>
                <w:noProof/>
                <w:webHidden/>
              </w:rPr>
            </w:r>
            <w:r w:rsidR="00417F94" w:rsidRPr="00417F94">
              <w:rPr>
                <w:noProof/>
                <w:webHidden/>
              </w:rPr>
              <w:fldChar w:fldCharType="separate"/>
            </w:r>
            <w:r w:rsidR="00D32C9C">
              <w:rPr>
                <w:noProof/>
                <w:webHidden/>
              </w:rPr>
              <w:t>16</w:t>
            </w:r>
            <w:r w:rsidR="00417F94" w:rsidRPr="00417F94">
              <w:rPr>
                <w:noProof/>
                <w:webHidden/>
              </w:rPr>
              <w:fldChar w:fldCharType="end"/>
            </w:r>
          </w:hyperlink>
        </w:p>
        <w:p w14:paraId="318B2A2E" w14:textId="32097609" w:rsidR="00417F94" w:rsidRPr="00417F94" w:rsidRDefault="006652C1" w:rsidP="005267D3">
          <w:pPr>
            <w:pStyle w:val="TOC2"/>
            <w:rPr>
              <w:noProof/>
              <w:color w:val="auto"/>
              <w:lang w:val="en-AU" w:eastAsia="en-AU"/>
            </w:rPr>
          </w:pPr>
          <w:hyperlink w:anchor="_Toc51830726" w:history="1">
            <w:r w:rsidR="00417F94" w:rsidRPr="00417F94">
              <w:rPr>
                <w:rStyle w:val="Hyperlink"/>
                <w:noProof/>
              </w:rPr>
              <w:t>Participation</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_Toc51830726 \h </w:instrText>
            </w:r>
            <w:r w:rsidR="00417F94" w:rsidRPr="00417F94">
              <w:rPr>
                <w:noProof/>
                <w:webHidden/>
              </w:rPr>
            </w:r>
            <w:r w:rsidR="00417F94" w:rsidRPr="00417F94">
              <w:rPr>
                <w:noProof/>
                <w:webHidden/>
              </w:rPr>
              <w:fldChar w:fldCharType="separate"/>
            </w:r>
            <w:r w:rsidR="00D32C9C">
              <w:rPr>
                <w:noProof/>
                <w:webHidden/>
              </w:rPr>
              <w:t>17</w:t>
            </w:r>
            <w:r w:rsidR="00417F94" w:rsidRPr="00417F94">
              <w:rPr>
                <w:noProof/>
                <w:webHidden/>
              </w:rPr>
              <w:fldChar w:fldCharType="end"/>
            </w:r>
          </w:hyperlink>
        </w:p>
        <w:p w14:paraId="42DDFB74" w14:textId="57B96EFA" w:rsidR="00417F94" w:rsidRPr="00417F94" w:rsidRDefault="006652C1" w:rsidP="005267D3">
          <w:pPr>
            <w:pStyle w:val="TOC2"/>
            <w:rPr>
              <w:noProof/>
              <w:color w:val="auto"/>
              <w:lang w:val="en-AU" w:eastAsia="en-AU"/>
            </w:rPr>
          </w:pPr>
          <w:hyperlink w:anchor="_Toc51830727" w:history="1">
            <w:r w:rsidR="00417F94" w:rsidRPr="00417F94">
              <w:rPr>
                <w:rStyle w:val="Hyperlink"/>
                <w:noProof/>
              </w:rPr>
              <w:t>Curriculum Development, Accreditation and Delivery</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_Toc51830727 \h </w:instrText>
            </w:r>
            <w:r w:rsidR="00417F94" w:rsidRPr="00417F94">
              <w:rPr>
                <w:noProof/>
                <w:webHidden/>
              </w:rPr>
            </w:r>
            <w:r w:rsidR="00417F94" w:rsidRPr="00417F94">
              <w:rPr>
                <w:noProof/>
                <w:webHidden/>
              </w:rPr>
              <w:fldChar w:fldCharType="separate"/>
            </w:r>
            <w:r w:rsidR="00D32C9C">
              <w:rPr>
                <w:noProof/>
                <w:webHidden/>
              </w:rPr>
              <w:t>18</w:t>
            </w:r>
            <w:r w:rsidR="00417F94" w:rsidRPr="00417F94">
              <w:rPr>
                <w:noProof/>
                <w:webHidden/>
              </w:rPr>
              <w:fldChar w:fldCharType="end"/>
            </w:r>
          </w:hyperlink>
        </w:p>
        <w:p w14:paraId="59047BB0" w14:textId="4D3471E7" w:rsidR="00417F94" w:rsidRPr="00417F94" w:rsidRDefault="006652C1" w:rsidP="005267D3">
          <w:pPr>
            <w:pStyle w:val="TOC2"/>
            <w:rPr>
              <w:noProof/>
              <w:color w:val="auto"/>
              <w:lang w:val="en-AU" w:eastAsia="en-AU"/>
            </w:rPr>
          </w:pPr>
          <w:hyperlink w:anchor="_Toc51830728" w:history="1">
            <w:r w:rsidR="00417F94" w:rsidRPr="00417F94">
              <w:rPr>
                <w:rStyle w:val="Hyperlink"/>
                <w:noProof/>
              </w:rPr>
              <w:t>Student Support Services</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_Toc51830728 \h </w:instrText>
            </w:r>
            <w:r w:rsidR="00417F94" w:rsidRPr="00417F94">
              <w:rPr>
                <w:noProof/>
                <w:webHidden/>
              </w:rPr>
            </w:r>
            <w:r w:rsidR="00417F94" w:rsidRPr="00417F94">
              <w:rPr>
                <w:noProof/>
                <w:webHidden/>
              </w:rPr>
              <w:fldChar w:fldCharType="separate"/>
            </w:r>
            <w:r w:rsidR="00D32C9C">
              <w:rPr>
                <w:noProof/>
                <w:webHidden/>
              </w:rPr>
              <w:t>18</w:t>
            </w:r>
            <w:r w:rsidR="00417F94" w:rsidRPr="00417F94">
              <w:rPr>
                <w:noProof/>
                <w:webHidden/>
              </w:rPr>
              <w:fldChar w:fldCharType="end"/>
            </w:r>
          </w:hyperlink>
        </w:p>
        <w:p w14:paraId="1C09F405" w14:textId="2BCE5699" w:rsidR="00417F94" w:rsidRPr="00417F94" w:rsidRDefault="006652C1" w:rsidP="005267D3">
          <w:pPr>
            <w:pStyle w:val="TOC2"/>
            <w:rPr>
              <w:noProof/>
              <w:color w:val="auto"/>
              <w:lang w:val="en-AU" w:eastAsia="en-AU"/>
            </w:rPr>
          </w:pPr>
          <w:hyperlink w:anchor="_Toc51830729" w:history="1">
            <w:r w:rsidR="00417F94" w:rsidRPr="00417F94">
              <w:rPr>
                <w:rStyle w:val="Hyperlink"/>
                <w:noProof/>
              </w:rPr>
              <w:t>Elimination of Harassment and Victimisation</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_Toc51830729 \h </w:instrText>
            </w:r>
            <w:r w:rsidR="00417F94" w:rsidRPr="00417F94">
              <w:rPr>
                <w:noProof/>
                <w:webHidden/>
              </w:rPr>
            </w:r>
            <w:r w:rsidR="00417F94" w:rsidRPr="00417F94">
              <w:rPr>
                <w:noProof/>
                <w:webHidden/>
              </w:rPr>
              <w:fldChar w:fldCharType="separate"/>
            </w:r>
            <w:r w:rsidR="00D32C9C">
              <w:rPr>
                <w:noProof/>
                <w:webHidden/>
              </w:rPr>
              <w:t>19</w:t>
            </w:r>
            <w:r w:rsidR="00417F94" w:rsidRPr="00417F94">
              <w:rPr>
                <w:noProof/>
                <w:webHidden/>
              </w:rPr>
              <w:fldChar w:fldCharType="end"/>
            </w:r>
          </w:hyperlink>
        </w:p>
        <w:p w14:paraId="44E31891" w14:textId="2970E591" w:rsidR="00417F94" w:rsidRPr="00417F94" w:rsidRDefault="006652C1" w:rsidP="005267D3">
          <w:pPr>
            <w:pStyle w:val="TOC2"/>
            <w:rPr>
              <w:noProof/>
              <w:color w:val="auto"/>
              <w:lang w:val="en-AU" w:eastAsia="en-AU"/>
            </w:rPr>
          </w:pPr>
          <w:hyperlink w:anchor="_Toc51830730" w:history="1">
            <w:r w:rsidR="00417F94" w:rsidRPr="00417F94">
              <w:rPr>
                <w:rStyle w:val="Hyperlink"/>
                <w:noProof/>
              </w:rPr>
              <w:t>Mental Health and Disability</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_Toc51830730 \h </w:instrText>
            </w:r>
            <w:r w:rsidR="00417F94" w:rsidRPr="00417F94">
              <w:rPr>
                <w:noProof/>
                <w:webHidden/>
              </w:rPr>
            </w:r>
            <w:r w:rsidR="00417F94" w:rsidRPr="00417F94">
              <w:rPr>
                <w:noProof/>
                <w:webHidden/>
              </w:rPr>
              <w:fldChar w:fldCharType="separate"/>
            </w:r>
            <w:r w:rsidR="00D32C9C">
              <w:rPr>
                <w:noProof/>
                <w:webHidden/>
              </w:rPr>
              <w:t>19</w:t>
            </w:r>
            <w:r w:rsidR="00417F94" w:rsidRPr="00417F94">
              <w:rPr>
                <w:noProof/>
                <w:webHidden/>
              </w:rPr>
              <w:fldChar w:fldCharType="end"/>
            </w:r>
          </w:hyperlink>
        </w:p>
        <w:p w14:paraId="573247B8" w14:textId="526F17E3" w:rsidR="00417F94" w:rsidRPr="00417F94" w:rsidRDefault="006652C1" w:rsidP="005267D3">
          <w:pPr>
            <w:pStyle w:val="TOC2"/>
            <w:rPr>
              <w:noProof/>
              <w:color w:val="auto"/>
              <w:lang w:val="en-AU" w:eastAsia="en-AU"/>
            </w:rPr>
          </w:pPr>
          <w:hyperlink w:anchor="_Toc51830731" w:history="1">
            <w:r w:rsidR="00417F94" w:rsidRPr="00417F94">
              <w:rPr>
                <w:rStyle w:val="Hyperlink"/>
                <w:noProof/>
              </w:rPr>
              <w:t>Post-Graduation Outcomes</w:t>
            </w:r>
            <w:r w:rsidR="00417F94" w:rsidRPr="00417F94">
              <w:rPr>
                <w:noProof/>
                <w:webHidden/>
              </w:rPr>
              <w:tab/>
            </w:r>
            <w:r w:rsidR="00417F94" w:rsidRPr="00417F94">
              <w:rPr>
                <w:noProof/>
                <w:webHidden/>
              </w:rPr>
              <w:fldChar w:fldCharType="begin"/>
            </w:r>
            <w:r w:rsidR="00417F94" w:rsidRPr="00417F94">
              <w:rPr>
                <w:noProof/>
                <w:webHidden/>
              </w:rPr>
              <w:instrText xml:space="preserve"> PAGEREF _Toc51830731 \h </w:instrText>
            </w:r>
            <w:r w:rsidR="00417F94" w:rsidRPr="00417F94">
              <w:rPr>
                <w:noProof/>
                <w:webHidden/>
              </w:rPr>
            </w:r>
            <w:r w:rsidR="00417F94" w:rsidRPr="00417F94">
              <w:rPr>
                <w:noProof/>
                <w:webHidden/>
              </w:rPr>
              <w:fldChar w:fldCharType="separate"/>
            </w:r>
            <w:r w:rsidR="00D32C9C">
              <w:rPr>
                <w:noProof/>
                <w:webHidden/>
              </w:rPr>
              <w:t>21</w:t>
            </w:r>
            <w:r w:rsidR="00417F94" w:rsidRPr="00417F94">
              <w:rPr>
                <w:noProof/>
                <w:webHidden/>
              </w:rPr>
              <w:fldChar w:fldCharType="end"/>
            </w:r>
          </w:hyperlink>
        </w:p>
        <w:p w14:paraId="3EF63DE7" w14:textId="59A59035" w:rsidR="00417F94" w:rsidRPr="00417F94" w:rsidRDefault="006652C1" w:rsidP="005267D3">
          <w:pPr>
            <w:pStyle w:val="TOC1"/>
            <w:rPr>
              <w:rFonts w:asciiTheme="minorHAnsi" w:hAnsiTheme="minorHAnsi" w:cstheme="minorBidi"/>
              <w:color w:val="auto"/>
            </w:rPr>
          </w:pPr>
          <w:hyperlink w:anchor="_Toc51830732" w:history="1">
            <w:r w:rsidR="00417F94" w:rsidRPr="00417F94">
              <w:rPr>
                <w:rStyle w:val="Hyperlink"/>
              </w:rPr>
              <w:t>Recommendations</w:t>
            </w:r>
            <w:r w:rsidR="00417F94" w:rsidRPr="00417F94">
              <w:rPr>
                <w:webHidden/>
              </w:rPr>
              <w:tab/>
            </w:r>
            <w:r w:rsidR="00417F94" w:rsidRPr="00417F94">
              <w:rPr>
                <w:webHidden/>
              </w:rPr>
              <w:fldChar w:fldCharType="begin"/>
            </w:r>
            <w:r w:rsidR="00417F94" w:rsidRPr="00417F94">
              <w:rPr>
                <w:webHidden/>
              </w:rPr>
              <w:instrText xml:space="preserve"> PAGEREF _Toc51830732 \h </w:instrText>
            </w:r>
            <w:r w:rsidR="00417F94" w:rsidRPr="00417F94">
              <w:rPr>
                <w:webHidden/>
              </w:rPr>
            </w:r>
            <w:r w:rsidR="00417F94" w:rsidRPr="00417F94">
              <w:rPr>
                <w:webHidden/>
              </w:rPr>
              <w:fldChar w:fldCharType="separate"/>
            </w:r>
            <w:r w:rsidR="00D32C9C">
              <w:rPr>
                <w:webHidden/>
              </w:rPr>
              <w:t>23</w:t>
            </w:r>
            <w:r w:rsidR="00417F94" w:rsidRPr="00417F94">
              <w:rPr>
                <w:webHidden/>
              </w:rPr>
              <w:fldChar w:fldCharType="end"/>
            </w:r>
          </w:hyperlink>
        </w:p>
        <w:p w14:paraId="07B19B84" w14:textId="1A6F46F5" w:rsidR="00417F94" w:rsidRDefault="006652C1" w:rsidP="005267D3">
          <w:pPr>
            <w:pStyle w:val="TOC1"/>
            <w:rPr>
              <w:rFonts w:asciiTheme="minorHAnsi" w:hAnsiTheme="minorHAnsi" w:cstheme="minorBidi"/>
              <w:color w:val="auto"/>
            </w:rPr>
          </w:pPr>
          <w:hyperlink w:anchor="_Toc51830733" w:history="1">
            <w:r w:rsidR="00417F94" w:rsidRPr="00417F94">
              <w:rPr>
                <w:rStyle w:val="Hyperlink"/>
              </w:rPr>
              <w:t>References</w:t>
            </w:r>
            <w:r w:rsidR="00417F94" w:rsidRPr="00417F94">
              <w:rPr>
                <w:webHidden/>
              </w:rPr>
              <w:tab/>
            </w:r>
            <w:r w:rsidR="00417F94" w:rsidRPr="00417F94">
              <w:rPr>
                <w:webHidden/>
              </w:rPr>
              <w:fldChar w:fldCharType="begin"/>
            </w:r>
            <w:r w:rsidR="00417F94" w:rsidRPr="00417F94">
              <w:rPr>
                <w:webHidden/>
              </w:rPr>
              <w:instrText xml:space="preserve"> PAGEREF _Toc51830733 \h </w:instrText>
            </w:r>
            <w:r w:rsidR="00417F94" w:rsidRPr="00417F94">
              <w:rPr>
                <w:webHidden/>
              </w:rPr>
            </w:r>
            <w:r w:rsidR="00417F94" w:rsidRPr="00417F94">
              <w:rPr>
                <w:webHidden/>
              </w:rPr>
              <w:fldChar w:fldCharType="separate"/>
            </w:r>
            <w:r w:rsidR="00D32C9C">
              <w:rPr>
                <w:webHidden/>
              </w:rPr>
              <w:t>25</w:t>
            </w:r>
            <w:r w:rsidR="00417F94" w:rsidRPr="00417F94">
              <w:rPr>
                <w:webHidden/>
              </w:rPr>
              <w:fldChar w:fldCharType="end"/>
            </w:r>
          </w:hyperlink>
        </w:p>
        <w:p w14:paraId="63D4C046" w14:textId="2BA1289C" w:rsidR="00417F94" w:rsidRDefault="00417F94" w:rsidP="005267D3">
          <w:r>
            <w:rPr>
              <w:bCs/>
              <w:noProof/>
            </w:rPr>
            <w:fldChar w:fldCharType="end"/>
          </w:r>
        </w:p>
      </w:sdtContent>
    </w:sdt>
    <w:p w14:paraId="6F7D2F4F" w14:textId="516C3B83" w:rsidR="00C472C8" w:rsidRDefault="00C472C8" w:rsidP="005267D3">
      <w:pPr>
        <w:pStyle w:val="TOC2"/>
      </w:pPr>
      <w:r>
        <w:br w:type="page"/>
      </w:r>
    </w:p>
    <w:p w14:paraId="308CEE53" w14:textId="25E80629" w:rsidR="00833A14" w:rsidRPr="004D408F" w:rsidRDefault="001C2285" w:rsidP="005267D3">
      <w:pPr>
        <w:pStyle w:val="Heading1"/>
      </w:pPr>
      <w:bookmarkStart w:id="0" w:name="_Toc450307731"/>
      <w:bookmarkStart w:id="1" w:name="_Toc51830717"/>
      <w:r w:rsidRPr="00BD25FE">
        <w:lastRenderedPageBreak/>
        <w:t>About the N</w:t>
      </w:r>
      <w:r w:rsidR="00557899" w:rsidRPr="00955825">
        <w:t xml:space="preserve">ational </w:t>
      </w:r>
      <w:r w:rsidRPr="00955825">
        <w:t>C</w:t>
      </w:r>
      <w:r w:rsidR="00557899" w:rsidRPr="00955825">
        <w:t xml:space="preserve">entre for </w:t>
      </w:r>
      <w:r w:rsidRPr="00955825">
        <w:t>S</w:t>
      </w:r>
      <w:r w:rsidR="00557899" w:rsidRPr="00B100A5">
        <w:t xml:space="preserve">tudent </w:t>
      </w:r>
      <w:r w:rsidRPr="00B100A5">
        <w:t>E</w:t>
      </w:r>
      <w:r w:rsidR="00557899" w:rsidRPr="00B100A5">
        <w:t xml:space="preserve">quity </w:t>
      </w:r>
      <w:r w:rsidR="00CA68AC">
        <w:br/>
      </w:r>
      <w:r w:rsidR="00557899" w:rsidRPr="00B100A5">
        <w:t xml:space="preserve">in </w:t>
      </w:r>
      <w:r w:rsidRPr="00B100A5">
        <w:t>H</w:t>
      </w:r>
      <w:r w:rsidR="00557899" w:rsidRPr="00B100A5">
        <w:t xml:space="preserve">igher </w:t>
      </w:r>
      <w:r w:rsidRPr="004D408F">
        <w:t>E</w:t>
      </w:r>
      <w:r w:rsidR="00557899" w:rsidRPr="004D408F">
        <w:t>ducation</w:t>
      </w:r>
      <w:bookmarkEnd w:id="0"/>
      <w:bookmarkEnd w:id="1"/>
      <w:r w:rsidR="001D772C">
        <w:t xml:space="preserve"> </w:t>
      </w:r>
    </w:p>
    <w:p w14:paraId="20B29051" w14:textId="260FDA12" w:rsidR="00FB3126" w:rsidRPr="006020BD" w:rsidRDefault="00FB3126" w:rsidP="005267D3">
      <w:r w:rsidRPr="006020BD">
        <w:t>The National Centre for Student Equity in Higher Education (NCSEHE) is a research and policy centre funded by the Australian Government Department of Education</w:t>
      </w:r>
      <w:r w:rsidR="00955825" w:rsidRPr="006020BD">
        <w:t xml:space="preserve">, </w:t>
      </w:r>
      <w:r w:rsidR="005C655B" w:rsidRPr="006020BD">
        <w:t>Skills and Employment</w:t>
      </w:r>
      <w:r w:rsidR="00556DF9">
        <w:t>,</w:t>
      </w:r>
      <w:r w:rsidRPr="006020BD">
        <w:t xml:space="preserve"> and</w:t>
      </w:r>
      <w:r w:rsidR="005C655B" w:rsidRPr="006020BD">
        <w:t xml:space="preserve"> </w:t>
      </w:r>
      <w:r w:rsidRPr="006020BD">
        <w:t xml:space="preserve">based at Curtin </w:t>
      </w:r>
      <w:r w:rsidRPr="005267D3">
        <w:t>University. The NCSEHE provides national leadership in student equity in higher education, connecting research, polic</w:t>
      </w:r>
      <w:r w:rsidR="0097318D" w:rsidRPr="005267D3">
        <w:t>y</w:t>
      </w:r>
      <w:r w:rsidRPr="005267D3">
        <w:t xml:space="preserve"> and practice to improve higher education participation and success for marginalised</w:t>
      </w:r>
      <w:r w:rsidRPr="006020BD">
        <w:t xml:space="preserve"> and disadvantaged people.</w:t>
      </w:r>
    </w:p>
    <w:p w14:paraId="7D5730CA" w14:textId="222E2E79" w:rsidR="00FB3126" w:rsidRPr="006020BD" w:rsidRDefault="00FB3126" w:rsidP="005267D3">
      <w:r w:rsidRPr="006020BD">
        <w:t>The NCSEHE’s diverse activities focus on strengthening Australia’s research quality, capability and capacity to build a robust evidence base; and informing evidence-based policy design and implementation, and institutional best practice.</w:t>
      </w:r>
    </w:p>
    <w:p w14:paraId="6825E775" w14:textId="77777777" w:rsidR="00A43206" w:rsidRDefault="00FB3126" w:rsidP="00A43206">
      <w:r w:rsidRPr="006020BD">
        <w:t>The NCSEHE conducts a broad scope of activities including:</w:t>
      </w:r>
    </w:p>
    <w:p w14:paraId="7CA23CF5" w14:textId="3E373CD7" w:rsidR="00FB3126" w:rsidRPr="006020BD" w:rsidRDefault="00FB3126" w:rsidP="00A43206">
      <w:pPr>
        <w:pStyle w:val="Bullet"/>
      </w:pPr>
      <w:r w:rsidRPr="00A43206">
        <w:rPr>
          <w:rStyle w:val="ListParagraphChar"/>
        </w:rPr>
        <w:t>research-based projects both independently and in collaboration with other organisations, funded through external grants or through Centre resources</w:t>
      </w:r>
      <w:r w:rsidRPr="006020BD">
        <w:t xml:space="preserve"> </w:t>
      </w:r>
    </w:p>
    <w:p w14:paraId="7709909E" w14:textId="1D89AD5E" w:rsidR="00FB3126" w:rsidRPr="006020BD" w:rsidRDefault="00FB3126" w:rsidP="00A43206">
      <w:pPr>
        <w:pStyle w:val="Bullet"/>
      </w:pPr>
      <w:r w:rsidRPr="006020BD">
        <w:t>the NCSEHE Research Grants Program</w:t>
      </w:r>
    </w:p>
    <w:p w14:paraId="44FDE2ED" w14:textId="7CEABF4C" w:rsidR="00FB3126" w:rsidRPr="006020BD" w:rsidRDefault="00FB3126" w:rsidP="00A43206">
      <w:pPr>
        <w:pStyle w:val="Bullet"/>
      </w:pPr>
      <w:r w:rsidRPr="006020BD">
        <w:t>equity policy and program evaluation</w:t>
      </w:r>
    </w:p>
    <w:p w14:paraId="5AF77CBB" w14:textId="36090E57" w:rsidR="00FB3126" w:rsidRPr="006020BD" w:rsidRDefault="00FB3126" w:rsidP="00A43206">
      <w:pPr>
        <w:pStyle w:val="Bullet"/>
      </w:pPr>
      <w:r w:rsidRPr="006020BD">
        <w:t xml:space="preserve">Research Fellowships and Equity Fellowships </w:t>
      </w:r>
    </w:p>
    <w:p w14:paraId="6378FB95" w14:textId="3EBC5BB8" w:rsidR="00FB3126" w:rsidRPr="006020BD" w:rsidRDefault="00FB3126" w:rsidP="00A43206">
      <w:pPr>
        <w:pStyle w:val="Bullet"/>
      </w:pPr>
      <w:r w:rsidRPr="006020BD">
        <w:t>student equity data analysis, online resources and briefing notes</w:t>
      </w:r>
    </w:p>
    <w:p w14:paraId="33586151" w14:textId="48E2BFE3" w:rsidR="00FB3126" w:rsidRPr="006020BD" w:rsidRDefault="00FB3126" w:rsidP="00A43206">
      <w:pPr>
        <w:pStyle w:val="Bullet"/>
      </w:pPr>
      <w:r w:rsidRPr="006020BD">
        <w:t>print and digital publications</w:t>
      </w:r>
    </w:p>
    <w:p w14:paraId="609A2043" w14:textId="68B1664C" w:rsidR="00FB3126" w:rsidRPr="006020BD" w:rsidRDefault="00FB3126" w:rsidP="00A43206">
      <w:pPr>
        <w:pStyle w:val="Bullet"/>
      </w:pPr>
      <w:r w:rsidRPr="006020BD">
        <w:t>collaborative and independent events</w:t>
      </w:r>
    </w:p>
    <w:p w14:paraId="13D4A141" w14:textId="2162F9AA" w:rsidR="00FB3126" w:rsidRPr="006020BD" w:rsidRDefault="00FB3126" w:rsidP="00A43206">
      <w:pPr>
        <w:pStyle w:val="Bullet"/>
      </w:pPr>
      <w:r w:rsidRPr="006020BD">
        <w:t>representation at national and international conferences</w:t>
      </w:r>
    </w:p>
    <w:p w14:paraId="5F3AF834" w14:textId="5114BFB4" w:rsidR="00FB3126" w:rsidRPr="006020BD" w:rsidRDefault="00FB3126" w:rsidP="00A43206">
      <w:pPr>
        <w:pStyle w:val="Bullet"/>
      </w:pPr>
      <w:r w:rsidRPr="006020BD">
        <w:t>an emphasis on effective communication through channels including: website, electronic newsletters, social media and general media exposure</w:t>
      </w:r>
      <w:r w:rsidR="00EF2AD4">
        <w:t>.</w:t>
      </w:r>
    </w:p>
    <w:p w14:paraId="7450C891" w14:textId="5AB7FB26" w:rsidR="00FB3126" w:rsidRPr="006020BD" w:rsidRDefault="00FB3126" w:rsidP="005267D3">
      <w:r w:rsidRPr="006020BD">
        <w:t>The NCSEHE has established a strong national presence, engaging with key stakeholders and maintaining sector-wide partnerships to enhance outcomes and delivery of research and recommendations. The growing reputation and influence of the NCSEHE has contributed to student equity becoming firmly incorporated into higher education policy.</w:t>
      </w:r>
    </w:p>
    <w:p w14:paraId="607CEDFD" w14:textId="70E45DA8" w:rsidR="00BA753B" w:rsidRPr="007738F6" w:rsidRDefault="00FB3126" w:rsidP="005267D3">
      <w:pPr>
        <w:rPr>
          <w:rFonts w:eastAsiaTheme="majorEastAsia"/>
          <w:b/>
          <w:bCs/>
          <w:color w:val="B58C0A"/>
        </w:rPr>
      </w:pPr>
      <w:r w:rsidRPr="006020BD">
        <w:t xml:space="preserve">For further information on the NCSEHE, please visit </w:t>
      </w:r>
      <w:hyperlink r:id="rId11" w:tooltip="NCSEHE" w:history="1">
        <w:r w:rsidR="00F67488">
          <w:rPr>
            <w:rStyle w:val="Hyperlink"/>
            <w:rFonts w:cs="Arial"/>
          </w:rPr>
          <w:t>www.ncsehe.edu.au/</w:t>
        </w:r>
      </w:hyperlink>
      <w:r w:rsidR="00D0657C" w:rsidRPr="00D0657C">
        <w:t>.</w:t>
      </w:r>
      <w:r w:rsidR="000862D3">
        <w:t xml:space="preserve"> </w:t>
      </w:r>
      <w:r w:rsidR="00BA753B" w:rsidRPr="007738F6">
        <w:rPr>
          <w:color w:val="B58C0A"/>
        </w:rPr>
        <w:br w:type="page"/>
      </w:r>
    </w:p>
    <w:p w14:paraId="33C2E105" w14:textId="0E39BC64" w:rsidR="003C7920" w:rsidRDefault="007958AF" w:rsidP="005267D3">
      <w:pPr>
        <w:pStyle w:val="Heading1"/>
      </w:pPr>
      <w:bookmarkStart w:id="2" w:name="_Toc450307732"/>
      <w:bookmarkStart w:id="3" w:name="_Toc51830718"/>
      <w:r>
        <w:lastRenderedPageBreak/>
        <w:t>Introduction</w:t>
      </w:r>
      <w:bookmarkEnd w:id="2"/>
      <w:bookmarkEnd w:id="3"/>
    </w:p>
    <w:p w14:paraId="15C1B4C5" w14:textId="7310BC20" w:rsidR="00662A67" w:rsidRDefault="00474C93" w:rsidP="005267D3">
      <w:pPr>
        <w:rPr>
          <w:iCs/>
        </w:rPr>
      </w:pPr>
      <w:bookmarkStart w:id="4" w:name="_Toc450741137"/>
      <w:r w:rsidRPr="007B7B14">
        <w:t>Th</w:t>
      </w:r>
      <w:r w:rsidR="00EE1B7E">
        <w:t>is</w:t>
      </w:r>
      <w:r w:rsidRPr="007B7B14">
        <w:t xml:space="preserve"> </w:t>
      </w:r>
      <w:r w:rsidR="004C74B3">
        <w:t xml:space="preserve">Discussion Paper forms the basis for the </w:t>
      </w:r>
      <w:r w:rsidRPr="007B7B14">
        <w:t>NCSEHE</w:t>
      </w:r>
      <w:r w:rsidR="004C74B3">
        <w:t>’s</w:t>
      </w:r>
      <w:r w:rsidRPr="007B7B14">
        <w:t xml:space="preserve"> </w:t>
      </w:r>
      <w:r w:rsidR="00124F1F" w:rsidRPr="00124F1F">
        <w:rPr>
          <w:i/>
        </w:rPr>
        <w:t>S</w:t>
      </w:r>
      <w:r w:rsidR="004C74B3" w:rsidRPr="00124F1F">
        <w:rPr>
          <w:i/>
        </w:rPr>
        <w:t xml:space="preserve">ubmission to </w:t>
      </w:r>
      <w:r w:rsidR="000862D3" w:rsidRPr="00124F1F">
        <w:rPr>
          <w:i/>
        </w:rPr>
        <w:t>the</w:t>
      </w:r>
      <w:r w:rsidR="000862D3">
        <w:t xml:space="preserve"> </w:t>
      </w:r>
      <w:r w:rsidR="000862D3" w:rsidRPr="000862D3">
        <w:rPr>
          <w:i/>
        </w:rPr>
        <w:t>2020 Review of the Disability Standards for Education 2005</w:t>
      </w:r>
      <w:r w:rsidR="004F6C3E">
        <w:t xml:space="preserve"> </w:t>
      </w:r>
      <w:r w:rsidR="008A67F8">
        <w:t xml:space="preserve">(“the Review”), submitted on 25 September 2020 </w:t>
      </w:r>
      <w:r w:rsidR="004F6C3E">
        <w:t>(</w:t>
      </w:r>
      <w:r w:rsidR="005B7C83" w:rsidRPr="00455FF9">
        <w:t>National Centre for Student Equity in Higher Education</w:t>
      </w:r>
      <w:r w:rsidR="00CC73C4">
        <w:t>,</w:t>
      </w:r>
      <w:r w:rsidR="005B7C83" w:rsidRPr="00455FF9">
        <w:t xml:space="preserve"> 2020</w:t>
      </w:r>
      <w:r w:rsidR="005B7C83">
        <w:t>a</w:t>
      </w:r>
      <w:r w:rsidR="005B7C83" w:rsidRPr="00455FF9">
        <w:t>).</w:t>
      </w:r>
      <w:r w:rsidR="00B932C3">
        <w:rPr>
          <w:i/>
        </w:rPr>
        <w:t xml:space="preserve"> </w:t>
      </w:r>
    </w:p>
    <w:p w14:paraId="252C0985" w14:textId="367F2A0B" w:rsidR="00416034" w:rsidRPr="00662A67" w:rsidRDefault="00912364" w:rsidP="005267D3">
      <w:pPr>
        <w:rPr>
          <w:iCs/>
        </w:rPr>
      </w:pPr>
      <w:r>
        <w:t xml:space="preserve">The </w:t>
      </w:r>
      <w:r w:rsidR="008A67F8">
        <w:t xml:space="preserve">NCSEHE’s </w:t>
      </w:r>
      <w:r w:rsidR="00465813">
        <w:t xml:space="preserve">set of </w:t>
      </w:r>
      <w:r w:rsidR="008A67F8">
        <w:t xml:space="preserve">recommendations to the Review </w:t>
      </w:r>
      <w:r w:rsidR="00465813">
        <w:t xml:space="preserve">reflects </w:t>
      </w:r>
      <w:r w:rsidR="0060316C">
        <w:t>its</w:t>
      </w:r>
      <w:r w:rsidR="008A67F8">
        <w:t xml:space="preserve"> </w:t>
      </w:r>
      <w:r>
        <w:t xml:space="preserve">core </w:t>
      </w:r>
      <w:r w:rsidR="00370890">
        <w:t>purpose and activities</w:t>
      </w:r>
      <w:r w:rsidR="0060316C">
        <w:t>, which</w:t>
      </w:r>
      <w:r w:rsidR="004F1785">
        <w:t xml:space="preserve"> </w:t>
      </w:r>
      <w:r w:rsidR="00D6501E">
        <w:t xml:space="preserve">centre </w:t>
      </w:r>
      <w:r w:rsidR="00653E81">
        <w:t>around</w:t>
      </w:r>
      <w:r w:rsidR="00FB10BC">
        <w:t xml:space="preserve"> </w:t>
      </w:r>
      <w:r w:rsidR="00D6501E">
        <w:t xml:space="preserve">enhancing </w:t>
      </w:r>
      <w:r w:rsidR="00DE0873" w:rsidRPr="00DE0873">
        <w:t>the participation</w:t>
      </w:r>
      <w:r w:rsidR="00FB10BC">
        <w:t>,</w:t>
      </w:r>
      <w:r w:rsidR="00DE0873" w:rsidRPr="00DE0873">
        <w:t xml:space="preserve"> success</w:t>
      </w:r>
      <w:r w:rsidR="00FB10BC">
        <w:t xml:space="preserve"> and outcomes</w:t>
      </w:r>
      <w:r w:rsidR="00DE0873" w:rsidRPr="00DE0873">
        <w:t xml:space="preserve"> of marginalised and disadvantaged people, particularly in relation to identified equity groups in Australian higher education</w:t>
      </w:r>
      <w:r w:rsidR="001B7F45">
        <w:t>:</w:t>
      </w:r>
    </w:p>
    <w:p w14:paraId="2385400B" w14:textId="32C1BEC8" w:rsidR="001B7F45" w:rsidRPr="000A4526" w:rsidRDefault="00A079F1" w:rsidP="00A43206">
      <w:pPr>
        <w:pStyle w:val="Bullet"/>
      </w:pPr>
      <w:r>
        <w:t xml:space="preserve">students </w:t>
      </w:r>
      <w:r w:rsidR="001B7F45">
        <w:t>from low socioeconomic status backgrounds (L</w:t>
      </w:r>
      <w:r w:rsidR="00485458">
        <w:t xml:space="preserve">ow </w:t>
      </w:r>
      <w:r w:rsidR="001B7F45">
        <w:t>SES)</w:t>
      </w:r>
    </w:p>
    <w:p w14:paraId="49F69E7E" w14:textId="453B23B3" w:rsidR="001B7F45" w:rsidRPr="000A4526" w:rsidRDefault="00A079F1" w:rsidP="00A43206">
      <w:pPr>
        <w:pStyle w:val="Bullet"/>
      </w:pPr>
      <w:r>
        <w:t>s</w:t>
      </w:r>
      <w:r w:rsidRPr="000A4526">
        <w:t xml:space="preserve">tudents </w:t>
      </w:r>
      <w:r w:rsidR="001B7F45" w:rsidRPr="000A4526">
        <w:t>with disability</w:t>
      </w:r>
    </w:p>
    <w:p w14:paraId="152B1FF8" w14:textId="77777777" w:rsidR="001B7F45" w:rsidRPr="000A4526" w:rsidRDefault="001B7F45" w:rsidP="00A43206">
      <w:pPr>
        <w:pStyle w:val="Bullet"/>
      </w:pPr>
      <w:r>
        <w:t>Indigenous students (Aboriginal and Torres Strait Islander</w:t>
      </w:r>
      <w:r w:rsidRPr="000A4526">
        <w:t xml:space="preserve"> Students</w:t>
      </w:r>
      <w:r>
        <w:t xml:space="preserve">) </w:t>
      </w:r>
    </w:p>
    <w:p w14:paraId="3276188E" w14:textId="0898CA9B" w:rsidR="001B7F45" w:rsidRPr="000A4526" w:rsidRDefault="00A079F1" w:rsidP="00A43206">
      <w:pPr>
        <w:pStyle w:val="Bullet"/>
      </w:pPr>
      <w:r>
        <w:t>w</w:t>
      </w:r>
      <w:r w:rsidRPr="000A4526">
        <w:t xml:space="preserve">omen </w:t>
      </w:r>
      <w:r w:rsidR="001B7F45" w:rsidRPr="000A4526">
        <w:t>in non-traditional areas (WINTA)</w:t>
      </w:r>
    </w:p>
    <w:p w14:paraId="7798C08C" w14:textId="5511F153" w:rsidR="001B7F45" w:rsidRPr="00C3071D" w:rsidRDefault="00A079F1" w:rsidP="00A43206">
      <w:pPr>
        <w:pStyle w:val="Bullet"/>
      </w:pPr>
      <w:r>
        <w:t>s</w:t>
      </w:r>
      <w:r w:rsidRPr="00C3071D">
        <w:t xml:space="preserve">tudents </w:t>
      </w:r>
      <w:r w:rsidR="001B7F45" w:rsidRPr="00C3071D">
        <w:t>from regional</w:t>
      </w:r>
      <w:r w:rsidR="001B7F45">
        <w:t xml:space="preserve">, rural </w:t>
      </w:r>
      <w:r w:rsidR="001B7F45" w:rsidRPr="00C3071D">
        <w:t xml:space="preserve">and remote areas </w:t>
      </w:r>
      <w:r w:rsidR="001B7F45">
        <w:t>(RRR)</w:t>
      </w:r>
      <w:r w:rsidR="001B7F45" w:rsidRPr="00C3071D">
        <w:t xml:space="preserve"> </w:t>
      </w:r>
    </w:p>
    <w:p w14:paraId="3A1FA735" w14:textId="204B9113" w:rsidR="001B7F45" w:rsidRPr="000A4526" w:rsidRDefault="00A079F1" w:rsidP="00A43206">
      <w:pPr>
        <w:pStyle w:val="Bullet"/>
      </w:pPr>
      <w:r>
        <w:t>s</w:t>
      </w:r>
      <w:r w:rsidRPr="000A4526">
        <w:t xml:space="preserve">tudents </w:t>
      </w:r>
      <w:r w:rsidR="001B7F45" w:rsidRPr="000A4526">
        <w:t>from non-English speaking backgrounds (NESB)</w:t>
      </w:r>
      <w:r w:rsidR="001B7F45">
        <w:t>.</w:t>
      </w:r>
      <w:r w:rsidR="001B7F45" w:rsidRPr="000A4526">
        <w:t xml:space="preserve"> </w:t>
      </w:r>
    </w:p>
    <w:p w14:paraId="6664603C" w14:textId="77FE7C6A" w:rsidR="00D66135" w:rsidRDefault="001B7F45" w:rsidP="005267D3">
      <w:r w:rsidRPr="00DE0873">
        <w:t xml:space="preserve">Around 50 per cent of domestic undergraduates </w:t>
      </w:r>
      <w:r>
        <w:t>are</w:t>
      </w:r>
      <w:r w:rsidRPr="00DE0873">
        <w:t xml:space="preserve"> classified in at least one</w:t>
      </w:r>
      <w:r>
        <w:t xml:space="preserve"> of the above</w:t>
      </w:r>
      <w:r w:rsidRPr="00DE0873">
        <w:t xml:space="preserve"> equity </w:t>
      </w:r>
      <w:r w:rsidR="00657F85">
        <w:t>groups</w:t>
      </w:r>
      <w:r w:rsidRPr="00DE0873">
        <w:t xml:space="preserve"> with many</w:t>
      </w:r>
      <w:r w:rsidR="00657F85">
        <w:t xml:space="preserve"> being classified</w:t>
      </w:r>
      <w:r w:rsidRPr="00DE0873">
        <w:t xml:space="preserve"> into two or more groups</w:t>
      </w:r>
      <w:r>
        <w:t xml:space="preserve">. </w:t>
      </w:r>
      <w:r w:rsidR="00657F85">
        <w:t>However, r</w:t>
      </w:r>
      <w:r w:rsidR="00C61137">
        <w:t>ecent developments have affected the extent to which equity students are distinguishable from those in the general population</w:t>
      </w:r>
      <w:r w:rsidR="00657F85">
        <w:t>.</w:t>
      </w:r>
      <w:r w:rsidR="003A5E83">
        <w:t xml:space="preserve"> </w:t>
      </w:r>
      <w:r w:rsidR="00657F85">
        <w:t>T</w:t>
      </w:r>
      <w:r w:rsidR="0014354F">
        <w:t>he</w:t>
      </w:r>
      <w:r w:rsidR="00EF7BF3">
        <w:t xml:space="preserve"> Review</w:t>
      </w:r>
      <w:r w:rsidR="0014354F">
        <w:t xml:space="preserve"> </w:t>
      </w:r>
      <w:r w:rsidR="00657F85">
        <w:t xml:space="preserve">is </w:t>
      </w:r>
      <w:r w:rsidR="0014354F">
        <w:t xml:space="preserve">taking place </w:t>
      </w:r>
      <w:r w:rsidR="00657F85">
        <w:t>during</w:t>
      </w:r>
      <w:r w:rsidR="0014354F">
        <w:t xml:space="preserve"> the </w:t>
      </w:r>
      <w:r w:rsidR="0014354F" w:rsidRPr="00FA062A">
        <w:t>COVID-19</w:t>
      </w:r>
      <w:r w:rsidR="0014354F">
        <w:t xml:space="preserve"> pandemic. </w:t>
      </w:r>
      <w:r w:rsidR="00931208">
        <w:t xml:space="preserve">Perhaps the key impact of COVID-19 </w:t>
      </w:r>
      <w:r w:rsidR="00EF7BF3">
        <w:t>in</w:t>
      </w:r>
      <w:r w:rsidR="00931208">
        <w:t xml:space="preserve"> education is the extent to</w:t>
      </w:r>
      <w:r w:rsidR="001B1873">
        <w:t xml:space="preserve"> </w:t>
      </w:r>
      <w:r w:rsidR="006C77D4">
        <w:t xml:space="preserve">which </w:t>
      </w:r>
      <w:r w:rsidR="001B1873">
        <w:t xml:space="preserve">issues around equitable access and participation are now being viewed in </w:t>
      </w:r>
      <w:r w:rsidR="00AA49DA">
        <w:t xml:space="preserve">broader </w:t>
      </w:r>
      <w:r w:rsidR="001B1873">
        <w:t>terms</w:t>
      </w:r>
      <w:r w:rsidR="00D66135">
        <w:t xml:space="preserve">: </w:t>
      </w:r>
    </w:p>
    <w:p w14:paraId="147A3CB7" w14:textId="22F5426E" w:rsidR="0014354F" w:rsidRDefault="0014354F" w:rsidP="00A5523F">
      <w:pPr>
        <w:ind w:left="720"/>
      </w:pPr>
      <w:r w:rsidRPr="00FA062A">
        <w:t xml:space="preserve">COVID-19 has thus universalised disadvantage in Australian higher education, just as it has done globally. Impediments to accessing and succeeding in higher education, normally associated with equity groups—whether academic, logistical, financial, cultural, or personal—are now affecting the general student population. </w:t>
      </w:r>
      <w:r w:rsidRPr="00D354D3">
        <w:t xml:space="preserve">(O’Shea, Koshy &amp; </w:t>
      </w:r>
      <w:proofErr w:type="spellStart"/>
      <w:r w:rsidRPr="00D354D3">
        <w:t>Drane</w:t>
      </w:r>
      <w:proofErr w:type="spellEnd"/>
      <w:r w:rsidRPr="00D354D3">
        <w:t>, in-review)</w:t>
      </w:r>
      <w:r>
        <w:t>.</w:t>
      </w:r>
    </w:p>
    <w:p w14:paraId="60621274" w14:textId="478B185A" w:rsidR="002C6C43" w:rsidRPr="007B7B14" w:rsidRDefault="00AB3770" w:rsidP="005005BF">
      <w:pPr>
        <w:rPr>
          <w:iCs/>
        </w:rPr>
      </w:pPr>
      <w:r>
        <w:t>Thus, equity policy has become a critical lens through which education</w:t>
      </w:r>
      <w:r w:rsidR="009320B2">
        <w:t xml:space="preserve"> outcomes are assessed.</w:t>
      </w:r>
      <w:r w:rsidR="00DA0209">
        <w:t xml:space="preserve"> </w:t>
      </w:r>
      <w:r w:rsidR="00875CA8">
        <w:t>T</w:t>
      </w:r>
      <w:r w:rsidR="008A02F4">
        <w:t>he NCSEHE</w:t>
      </w:r>
      <w:r w:rsidR="00875CA8">
        <w:t xml:space="preserve"> endorses an approach to higher education policy that is grounded in inclusive participation</w:t>
      </w:r>
      <w:r w:rsidR="008A02F4">
        <w:t xml:space="preserve">. </w:t>
      </w:r>
      <w:r w:rsidR="002C6C43" w:rsidRPr="007B7B14">
        <w:t xml:space="preserve">In February 2019, </w:t>
      </w:r>
      <w:r w:rsidR="00AA49DA">
        <w:t xml:space="preserve">the </w:t>
      </w:r>
      <w:r w:rsidR="000F5D55">
        <w:t>NCSEHE</w:t>
      </w:r>
      <w:r w:rsidR="00AA49DA">
        <w:t xml:space="preserve"> </w:t>
      </w:r>
      <w:r w:rsidR="002C6C43" w:rsidRPr="007B7B14">
        <w:t xml:space="preserve">released a report outlining a series of principles for equity policy </w:t>
      </w:r>
      <w:r w:rsidR="0009192B">
        <w:t>for</w:t>
      </w:r>
      <w:r w:rsidR="002C6C43" w:rsidRPr="007B7B14">
        <w:t xml:space="preserve"> the </w:t>
      </w:r>
      <w:r w:rsidR="002C6C43" w:rsidRPr="00BD1D01">
        <w:t xml:space="preserve">next decade: </w:t>
      </w:r>
      <w:r w:rsidR="00B42773" w:rsidRPr="00BD1D01">
        <w:rPr>
          <w:i/>
        </w:rPr>
        <w:t>The Best Chance for All</w:t>
      </w:r>
      <w:r w:rsidR="00B42773">
        <w:rPr>
          <w:i/>
        </w:rPr>
        <w:t>: Student Equity 2030</w:t>
      </w:r>
      <w:r w:rsidR="00B42773">
        <w:t xml:space="preserve"> (</w:t>
      </w:r>
      <w:r w:rsidR="00FB472B">
        <w:t>Zacharias &amp; Brett, 2019</w:t>
      </w:r>
      <w:r w:rsidR="00B42773">
        <w:t>)</w:t>
      </w:r>
      <w:r w:rsidR="002C6C43" w:rsidRPr="00BD1D01">
        <w:rPr>
          <w:noProof/>
        </w:rPr>
        <w:t>.</w:t>
      </w:r>
      <w:r w:rsidR="002C6C43" w:rsidRPr="00BD1D01">
        <w:t xml:space="preserve"> This</w:t>
      </w:r>
      <w:r w:rsidR="002C6C43" w:rsidRPr="007B7B14">
        <w:t xml:space="preserve"> </w:t>
      </w:r>
      <w:r w:rsidR="002C6C43">
        <w:t>statement was based on</w:t>
      </w:r>
      <w:r w:rsidR="002C6C43" w:rsidRPr="007B7B14">
        <w:t xml:space="preserve"> a consultation process</w:t>
      </w:r>
      <w:r w:rsidR="002C6C43">
        <w:t xml:space="preserve"> that included</w:t>
      </w:r>
      <w:r w:rsidR="002C6C43" w:rsidRPr="007B7B14">
        <w:t xml:space="preserve"> </w:t>
      </w:r>
      <w:r w:rsidR="00A079F1">
        <w:t>10</w:t>
      </w:r>
      <w:r w:rsidR="00A079F1" w:rsidRPr="007B7B14">
        <w:t xml:space="preserve"> </w:t>
      </w:r>
      <w:r w:rsidR="002C6C43" w:rsidRPr="007B7B14">
        <w:t>major workshops across Australia in 2018, attended by over 150 experts in higher education equity</w:t>
      </w:r>
      <w:r w:rsidR="002C6C43">
        <w:t>.</w:t>
      </w:r>
      <w:r w:rsidR="002C6C43" w:rsidRPr="007B7B14">
        <w:t xml:space="preserve"> </w:t>
      </w:r>
      <w:r w:rsidR="002C6C43">
        <w:t>C</w:t>
      </w:r>
      <w:r w:rsidR="002C6C43" w:rsidRPr="007B7B14">
        <w:t>ollectively</w:t>
      </w:r>
      <w:r w:rsidR="002C6C43">
        <w:t>, these deliberations</w:t>
      </w:r>
      <w:r w:rsidR="002C6C43" w:rsidRPr="007B7B14">
        <w:t xml:space="preserve"> produced </w:t>
      </w:r>
      <w:r w:rsidR="002C6C43">
        <w:t>an equity</w:t>
      </w:r>
      <w:r w:rsidR="002C6C43" w:rsidRPr="007B7B14">
        <w:t xml:space="preserve"> vision for higher education in Australia, one that gives every student the best chance of success, and in doing so, aims to create the optimum educational </w:t>
      </w:r>
      <w:r w:rsidR="002C6C43" w:rsidRPr="007B7B14">
        <w:lastRenderedPageBreak/>
        <w:t xml:space="preserve">outcomes for Australia as a whole. </w:t>
      </w:r>
      <w:r w:rsidR="002C6C43">
        <w:t xml:space="preserve">This </w:t>
      </w:r>
      <w:r w:rsidR="00AA49DA">
        <w:t xml:space="preserve">vision is underpinned by an understanding </w:t>
      </w:r>
      <w:r w:rsidR="002C6C43">
        <w:t>that</w:t>
      </w:r>
      <w:r w:rsidR="002C6C43" w:rsidRPr="007B7B14">
        <w:t xml:space="preserve"> all people</w:t>
      </w:r>
      <w:r w:rsidR="002C6C43">
        <w:t xml:space="preserve"> in Australia</w:t>
      </w:r>
      <w:r w:rsidR="002C6C43" w:rsidRPr="007B7B14">
        <w:t>, who</w:t>
      </w:r>
      <w:r w:rsidR="00AA49DA">
        <w:t>m</w:t>
      </w:r>
      <w:r w:rsidR="002C6C43" w:rsidRPr="007B7B14">
        <w:t xml:space="preserve">ever and wherever they are, </w:t>
      </w:r>
      <w:r w:rsidR="002C6C43">
        <w:t xml:space="preserve">are </w:t>
      </w:r>
      <w:r w:rsidR="00AA49DA">
        <w:t xml:space="preserve">provided with </w:t>
      </w:r>
      <w:r w:rsidR="002C6C43">
        <w:t xml:space="preserve">the opportunity to </w:t>
      </w:r>
      <w:r w:rsidR="002C6C43" w:rsidRPr="007B7B14">
        <w:rPr>
          <w:noProof/>
        </w:rPr>
        <w:t>successfully engage in beneficial and lifelong learning</w:t>
      </w:r>
      <w:r w:rsidR="002C6C43" w:rsidRPr="007B7B14">
        <w:t xml:space="preserve"> in a higher education system with the following characteristics:</w:t>
      </w:r>
    </w:p>
    <w:p w14:paraId="2D6AE48D" w14:textId="3A807E79" w:rsidR="002C6C43" w:rsidRPr="007B7B14" w:rsidRDefault="002C6C43" w:rsidP="00A43206">
      <w:pPr>
        <w:pStyle w:val="Bullet"/>
        <w:rPr>
          <w:iCs/>
        </w:rPr>
      </w:pPr>
      <w:r w:rsidRPr="007B7B14">
        <w:rPr>
          <w:b/>
          <w:noProof/>
        </w:rPr>
        <w:t>Contributing</w:t>
      </w:r>
      <w:r w:rsidRPr="007B7B14">
        <w:rPr>
          <w:b/>
        </w:rPr>
        <w:t xml:space="preserve"> to:</w:t>
      </w:r>
      <w:r w:rsidRPr="007B7B14">
        <w:t xml:space="preserve"> A fair, democratic, prosperous, and enterprising nation; reconciliation with Indigenous Australia; and cultural, civic</w:t>
      </w:r>
      <w:r w:rsidR="004C65B4">
        <w:t>,</w:t>
      </w:r>
      <w:r w:rsidRPr="007B7B14">
        <w:t xml:space="preserve"> and intellectual life.</w:t>
      </w:r>
    </w:p>
    <w:p w14:paraId="78CECB16" w14:textId="77777777" w:rsidR="002C6C43" w:rsidRPr="007B7B14" w:rsidRDefault="002C6C43" w:rsidP="00A43206">
      <w:pPr>
        <w:pStyle w:val="Bullet"/>
        <w:rPr>
          <w:iCs/>
        </w:rPr>
      </w:pPr>
      <w:r w:rsidRPr="007B7B14">
        <w:rPr>
          <w:b/>
        </w:rPr>
        <w:t>Achieved by:</w:t>
      </w:r>
      <w:r w:rsidRPr="007B7B14">
        <w:t xml:space="preserve"> An inclusively designed system with multiple entry and exit points; proactive removal of barriers to participation; and tailored support where needed.</w:t>
      </w:r>
    </w:p>
    <w:p w14:paraId="30521157" w14:textId="739E3D19" w:rsidR="002C6C43" w:rsidRPr="007B7B14" w:rsidRDefault="002C6C43" w:rsidP="00A43206">
      <w:pPr>
        <w:pStyle w:val="Bullet"/>
        <w:rPr>
          <w:iCs/>
        </w:rPr>
      </w:pPr>
      <w:r w:rsidRPr="007B7B14">
        <w:rPr>
          <w:b/>
        </w:rPr>
        <w:t>Accountable through:</w:t>
      </w:r>
      <w:r w:rsidRPr="007B7B14">
        <w:t xml:space="preserve"> An integrated approach to measuring success at institutional and national levels to align performance with policy objectives. </w:t>
      </w:r>
    </w:p>
    <w:p w14:paraId="0824A231" w14:textId="050B9EE4" w:rsidR="000D472C" w:rsidRPr="00EB78E5" w:rsidRDefault="000D472C" w:rsidP="005267D3">
      <w:r>
        <w:t>The NCSEHE’s response to the Review</w:t>
      </w:r>
      <w:r w:rsidR="002C6C43">
        <w:t xml:space="preserve"> reflects the intentions of </w:t>
      </w:r>
      <w:r w:rsidR="002C6C43" w:rsidRPr="00BD1D01">
        <w:rPr>
          <w:i/>
        </w:rPr>
        <w:t>The Best Chance for All</w:t>
      </w:r>
      <w:r w:rsidR="002C6C43" w:rsidRPr="00BD1D01">
        <w:rPr>
          <w:noProof/>
        </w:rPr>
        <w:t>.</w:t>
      </w:r>
      <w:r w:rsidR="002C6C43" w:rsidRPr="00BD1D01">
        <w:t xml:space="preserve"> </w:t>
      </w:r>
      <w:r w:rsidR="002C6C43">
        <w:t xml:space="preserve">To that end, the recommendations for </w:t>
      </w:r>
      <w:r>
        <w:t xml:space="preserve">the Disability Standards </w:t>
      </w:r>
      <w:r w:rsidR="00752335">
        <w:t xml:space="preserve">for </w:t>
      </w:r>
      <w:r>
        <w:t>Education (</w:t>
      </w:r>
      <w:r w:rsidR="00E96288">
        <w:t>“the Standards”</w:t>
      </w:r>
      <w:r>
        <w:t xml:space="preserve">) consider the identification, support of, and eventual success of students with disability over the entire study life cycle in Australian higher education. </w:t>
      </w:r>
      <w:r w:rsidR="002C6C43">
        <w:t>Th</w:t>
      </w:r>
      <w:r w:rsidR="00863C7B">
        <w:t xml:space="preserve">is </w:t>
      </w:r>
      <w:r w:rsidR="00CB2325">
        <w:t>document</w:t>
      </w:r>
      <w:r w:rsidR="00863C7B">
        <w:t xml:space="preserve"> and the resulting</w:t>
      </w:r>
      <w:r w:rsidR="002C6C43">
        <w:t xml:space="preserve"> submission</w:t>
      </w:r>
      <w:r>
        <w:t xml:space="preserve"> address </w:t>
      </w:r>
      <w:r w:rsidRPr="00EB78E5">
        <w:t>key</w:t>
      </w:r>
      <w:r>
        <w:t xml:space="preserve"> and related</w:t>
      </w:r>
      <w:r w:rsidRPr="00EB78E5">
        <w:t xml:space="preserve"> </w:t>
      </w:r>
      <w:r>
        <w:t>issues</w:t>
      </w:r>
      <w:r w:rsidRPr="00EB78E5">
        <w:t xml:space="preserve"> </w:t>
      </w:r>
      <w:r>
        <w:t>raised in the</w:t>
      </w:r>
      <w:r w:rsidR="00CB2325">
        <w:t xml:space="preserve"> Review’s</w:t>
      </w:r>
      <w:r>
        <w:t xml:space="preserve"> Discussion Paper (Department of Education, Skills and Employment, 2020a), specifically</w:t>
      </w:r>
      <w:r w:rsidRPr="00EB78E5">
        <w:t>:</w:t>
      </w:r>
    </w:p>
    <w:p w14:paraId="03DAC922" w14:textId="77777777" w:rsidR="007C32AA" w:rsidRDefault="007C32AA" w:rsidP="00A43206">
      <w:pPr>
        <w:pStyle w:val="Bullet"/>
      </w:pPr>
      <w:r>
        <w:t>Higher Education and Disability Standards</w:t>
      </w:r>
    </w:p>
    <w:p w14:paraId="4073D9BC" w14:textId="5E2D1DBD" w:rsidR="00B0281D" w:rsidRDefault="00B0281D" w:rsidP="00A43206">
      <w:pPr>
        <w:pStyle w:val="Bullet"/>
      </w:pPr>
      <w:r>
        <w:t xml:space="preserve">Defining Disability </w:t>
      </w:r>
    </w:p>
    <w:p w14:paraId="006EEF8C" w14:textId="57DFD178" w:rsidR="000D472C" w:rsidRDefault="000D472C" w:rsidP="00A43206">
      <w:pPr>
        <w:pStyle w:val="Bullet"/>
      </w:pPr>
      <w:r>
        <w:t xml:space="preserve">Identification of Disability </w:t>
      </w:r>
    </w:p>
    <w:p w14:paraId="1B1CEDBB" w14:textId="32CE6893" w:rsidR="007C32AA" w:rsidRDefault="007C32AA" w:rsidP="00A43206">
      <w:pPr>
        <w:pStyle w:val="Bullet"/>
      </w:pPr>
      <w:r>
        <w:t xml:space="preserve">Pre-Access </w:t>
      </w:r>
    </w:p>
    <w:p w14:paraId="3AE874BF" w14:textId="7B62DF49" w:rsidR="000D472C" w:rsidRPr="00EB78E5" w:rsidRDefault="000D472C" w:rsidP="00A43206">
      <w:pPr>
        <w:pStyle w:val="Bullet"/>
      </w:pPr>
      <w:r>
        <w:t xml:space="preserve">Access and </w:t>
      </w:r>
      <w:r w:rsidRPr="00EB78E5">
        <w:t>Enrolment</w:t>
      </w:r>
    </w:p>
    <w:p w14:paraId="02D3A7A5" w14:textId="77777777" w:rsidR="000D472C" w:rsidRPr="00EB78E5" w:rsidRDefault="000D472C" w:rsidP="00A43206">
      <w:pPr>
        <w:pStyle w:val="Bullet"/>
      </w:pPr>
      <w:r w:rsidRPr="00EB78E5">
        <w:t xml:space="preserve">Participation </w:t>
      </w:r>
    </w:p>
    <w:p w14:paraId="5D14A98C" w14:textId="77777777" w:rsidR="00651B01" w:rsidRDefault="00651B01" w:rsidP="00A43206">
      <w:pPr>
        <w:pStyle w:val="Bullet"/>
      </w:pPr>
      <w:r w:rsidRPr="00651B01">
        <w:t xml:space="preserve">Curriculum Development, Accreditation and Delivery  </w:t>
      </w:r>
    </w:p>
    <w:p w14:paraId="38778A2F" w14:textId="67E43EA0" w:rsidR="000D472C" w:rsidRDefault="000D472C" w:rsidP="00A43206">
      <w:pPr>
        <w:pStyle w:val="Bullet"/>
      </w:pPr>
      <w:r w:rsidRPr="00EB78E5">
        <w:t xml:space="preserve">Student Support Services </w:t>
      </w:r>
    </w:p>
    <w:p w14:paraId="49698D31" w14:textId="1DCDFAA8" w:rsidR="00651B01" w:rsidRDefault="00651B01" w:rsidP="00A43206">
      <w:pPr>
        <w:pStyle w:val="Bullet"/>
      </w:pPr>
      <w:r w:rsidRPr="00651B01">
        <w:t>Elimination of Harassment and Victimisation</w:t>
      </w:r>
    </w:p>
    <w:p w14:paraId="0215CE16" w14:textId="10F5379F" w:rsidR="00B0281D" w:rsidRDefault="00B0281D" w:rsidP="00A43206">
      <w:pPr>
        <w:pStyle w:val="Bullet"/>
      </w:pPr>
      <w:r>
        <w:t xml:space="preserve">Mental Health and Disability </w:t>
      </w:r>
    </w:p>
    <w:p w14:paraId="3265CD95" w14:textId="60941941" w:rsidR="00863C7B" w:rsidRPr="00EB78E5" w:rsidRDefault="00863C7B" w:rsidP="00A43206">
      <w:pPr>
        <w:pStyle w:val="Bullet"/>
      </w:pPr>
      <w:r>
        <w:t>Post-</w:t>
      </w:r>
      <w:r w:rsidR="00BE51CA">
        <w:t>G</w:t>
      </w:r>
      <w:r>
        <w:t xml:space="preserve">raduation </w:t>
      </w:r>
      <w:r w:rsidR="0095242D">
        <w:t>O</w:t>
      </w:r>
      <w:r>
        <w:t xml:space="preserve">utcomes. </w:t>
      </w:r>
    </w:p>
    <w:p w14:paraId="6CBDE03B" w14:textId="6C49C6C4" w:rsidR="00F34888" w:rsidRPr="00F34888" w:rsidRDefault="00F34888" w:rsidP="005267D3">
      <w:r w:rsidRPr="00F34888">
        <w:t xml:space="preserve">It is critical that Australian higher education </w:t>
      </w:r>
      <w:r w:rsidR="00846FE6">
        <w:t>engage</w:t>
      </w:r>
      <w:r w:rsidRPr="00F34888">
        <w:t xml:space="preserve"> with the </w:t>
      </w:r>
      <w:r w:rsidR="001F1C24">
        <w:t>Standards</w:t>
      </w:r>
      <w:r w:rsidRPr="00F34888">
        <w:t xml:space="preserve">, not only in terms of ensuring that the </w:t>
      </w:r>
      <w:r w:rsidR="00633AD8">
        <w:t>S</w:t>
      </w:r>
      <w:r w:rsidRPr="00F34888">
        <w:t>tandards are appropriate and translatable into higher education, but also in the way</w:t>
      </w:r>
      <w:r w:rsidR="00633AD8">
        <w:t xml:space="preserve">s in which they </w:t>
      </w:r>
      <w:r w:rsidRPr="00F34888">
        <w:t xml:space="preserve">are met. </w:t>
      </w:r>
    </w:p>
    <w:p w14:paraId="495A40EE" w14:textId="77777777" w:rsidR="001A0636" w:rsidRDefault="001A0636" w:rsidP="005267D3">
      <w:pPr>
        <w:rPr>
          <w:rFonts w:ascii="SansaSoft Pro Normal" w:eastAsiaTheme="majorEastAsia" w:hAnsi="SansaSoft Pro Normal" w:cstheme="majorBidi"/>
          <w:sz w:val="26"/>
          <w:szCs w:val="26"/>
        </w:rPr>
      </w:pPr>
      <w:r>
        <w:br w:type="page"/>
      </w:r>
    </w:p>
    <w:p w14:paraId="65F6A321" w14:textId="33696BD3" w:rsidR="0084499E" w:rsidRDefault="0084499E" w:rsidP="005267D3">
      <w:pPr>
        <w:pStyle w:val="Heading1"/>
      </w:pPr>
      <w:bookmarkStart w:id="5" w:name="_Toc51830719"/>
      <w:r w:rsidRPr="0084499E">
        <w:lastRenderedPageBreak/>
        <w:t>Disability in</w:t>
      </w:r>
      <w:r w:rsidR="002C447A">
        <w:t xml:space="preserve"> Australian</w:t>
      </w:r>
      <w:r w:rsidRPr="0084499E">
        <w:t xml:space="preserve"> Higher Education</w:t>
      </w:r>
      <w:bookmarkEnd w:id="5"/>
    </w:p>
    <w:p w14:paraId="77C17FE4" w14:textId="3E848D11" w:rsidR="00894471" w:rsidRDefault="00894471" w:rsidP="005267D3">
      <w:r>
        <w:t xml:space="preserve">Students in </w:t>
      </w:r>
      <w:r w:rsidR="00DA1940">
        <w:t xml:space="preserve">identified </w:t>
      </w:r>
      <w:r>
        <w:t xml:space="preserve">equity groups have historically been underrepresented in Australian higher education, and students with disability are no exception. In 2018, out of a total of 764,652 undergraduates in Australian higher education, around 55,565 reported a disability, accounting for 7.3 per cent of the undergraduate population (see Table 1). </w:t>
      </w:r>
      <w:r w:rsidR="00C72A7E">
        <w:t xml:space="preserve">The Department of Education, Skills and </w:t>
      </w:r>
      <w:r w:rsidR="00A079F1">
        <w:t xml:space="preserve">Employment </w:t>
      </w:r>
      <w:r>
        <w:t xml:space="preserve">uses data from the Australian Bureau of Statistics (ABS) to establish a baseline indicator for disability among the Australian population aged 15 to 64 – the target population for examining participation in higher education. The most recent release of this data for the 2018 calendar year (Department of Education, Skills and Employment, 2020b) indicates that </w:t>
      </w:r>
      <w:r w:rsidRPr="007E26AC">
        <w:t>people with disability</w:t>
      </w:r>
      <w:r>
        <w:t xml:space="preserve"> account for around 8.4 per cent of this subset of the population, with a considerably higher estimate for the entire population (including people aged 65 and over) of around 18.5 per cent (Brett, 2016). </w:t>
      </w:r>
    </w:p>
    <w:p w14:paraId="1DD51F92" w14:textId="795872E3" w:rsidR="00894471" w:rsidRDefault="00894471" w:rsidP="005267D3">
      <w:pPr>
        <w:pStyle w:val="TableHeading"/>
        <w:rPr>
          <w:rFonts w:cs="Arial"/>
          <w:sz w:val="22"/>
        </w:rPr>
      </w:pPr>
      <w:r w:rsidRPr="00555170">
        <w:t xml:space="preserve">Table </w:t>
      </w:r>
      <w:r>
        <w:t>1</w:t>
      </w:r>
      <w:r w:rsidRPr="00555170">
        <w:t>: Student Equity Enrolments and</w:t>
      </w:r>
      <w:r>
        <w:t xml:space="preserve"> Enrolment Shares, Australian Higher Education</w:t>
      </w:r>
      <w:r w:rsidR="00F00466">
        <w:br/>
      </w:r>
      <w:r>
        <w:t>Undergraduate Headcount</w:t>
      </w:r>
      <w:r w:rsidRPr="00555170">
        <w:t xml:space="preserve">, Table A </w:t>
      </w:r>
      <w:r>
        <w:t xml:space="preserve">and B </w:t>
      </w:r>
      <w:r w:rsidRPr="00555170">
        <w:t xml:space="preserve">Providers, </w:t>
      </w:r>
      <w:r>
        <w:t xml:space="preserve">2013–18 </w:t>
      </w:r>
    </w:p>
    <w:tbl>
      <w:tblPr>
        <w:tblW w:w="9498" w:type="dxa"/>
        <w:tblLayout w:type="fixed"/>
        <w:tblLook w:val="04A0" w:firstRow="1" w:lastRow="0" w:firstColumn="1" w:lastColumn="0" w:noHBand="0" w:noVBand="1"/>
        <w:tblCaption w:val="Table 14"/>
        <w:tblDescription w:val="Student Equity Enrolments and Enrolment Shares, Table A and B Providers, 2013–18a "/>
      </w:tblPr>
      <w:tblGrid>
        <w:gridCol w:w="2411"/>
        <w:gridCol w:w="1012"/>
        <w:gridCol w:w="1012"/>
        <w:gridCol w:w="1013"/>
        <w:gridCol w:w="1012"/>
        <w:gridCol w:w="1013"/>
        <w:gridCol w:w="1012"/>
        <w:gridCol w:w="1013"/>
      </w:tblGrid>
      <w:tr w:rsidR="00894471" w:rsidRPr="003E1EBA" w14:paraId="1AE9C9F9" w14:textId="77777777" w:rsidTr="00207C67">
        <w:trPr>
          <w:trHeight w:hRule="exact" w:val="312"/>
        </w:trPr>
        <w:tc>
          <w:tcPr>
            <w:tcW w:w="2411" w:type="dxa"/>
            <w:tcBorders>
              <w:top w:val="nil"/>
              <w:left w:val="nil"/>
              <w:bottom w:val="single" w:sz="8" w:space="0" w:color="D9D9D9"/>
              <w:right w:val="single" w:sz="8" w:space="0" w:color="D9D9D9"/>
            </w:tcBorders>
            <w:shd w:val="clear" w:color="auto" w:fill="auto"/>
            <w:noWrap/>
            <w:vAlign w:val="center"/>
            <w:hideMark/>
          </w:tcPr>
          <w:p w14:paraId="1428E12F" w14:textId="77777777" w:rsidR="00894471" w:rsidRPr="00387739" w:rsidRDefault="00894471" w:rsidP="005267D3">
            <w:pPr>
              <w:rPr>
                <w:rFonts w:cs="Arial"/>
                <w:sz w:val="20"/>
                <w:szCs w:val="20"/>
                <w:lang w:eastAsia="en-AU"/>
              </w:rPr>
            </w:pPr>
            <w:r w:rsidRPr="00387739">
              <w:rPr>
                <w:rFonts w:cs="Arial"/>
                <w:sz w:val="20"/>
                <w:szCs w:val="20"/>
                <w:lang w:eastAsia="en-AU"/>
              </w:rPr>
              <w:t> </w:t>
            </w:r>
          </w:p>
        </w:tc>
        <w:tc>
          <w:tcPr>
            <w:tcW w:w="1012" w:type="dxa"/>
            <w:tcBorders>
              <w:top w:val="single" w:sz="8" w:space="0" w:color="D9D9D9"/>
              <w:left w:val="single" w:sz="8" w:space="0" w:color="D9D9D9"/>
              <w:bottom w:val="single" w:sz="8" w:space="0" w:color="D9D9D9"/>
              <w:right w:val="single" w:sz="8" w:space="0" w:color="D9D9D9"/>
            </w:tcBorders>
            <w:shd w:val="clear" w:color="000000" w:fill="B58C0A"/>
            <w:noWrap/>
            <w:vAlign w:val="center"/>
            <w:hideMark/>
          </w:tcPr>
          <w:p w14:paraId="7F5383F0"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2013</w:t>
            </w:r>
          </w:p>
        </w:tc>
        <w:tc>
          <w:tcPr>
            <w:tcW w:w="1012" w:type="dxa"/>
            <w:tcBorders>
              <w:top w:val="single" w:sz="8" w:space="0" w:color="D9D9D9"/>
              <w:left w:val="single" w:sz="8" w:space="0" w:color="D9D9D9"/>
              <w:bottom w:val="single" w:sz="8" w:space="0" w:color="D9D9D9"/>
              <w:right w:val="single" w:sz="8" w:space="0" w:color="D9D9D9"/>
            </w:tcBorders>
            <w:shd w:val="clear" w:color="000000" w:fill="B58C0A"/>
            <w:noWrap/>
            <w:vAlign w:val="center"/>
            <w:hideMark/>
          </w:tcPr>
          <w:p w14:paraId="41F99369"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2014</w:t>
            </w:r>
          </w:p>
        </w:tc>
        <w:tc>
          <w:tcPr>
            <w:tcW w:w="1013" w:type="dxa"/>
            <w:tcBorders>
              <w:top w:val="single" w:sz="8" w:space="0" w:color="D9D9D9"/>
              <w:left w:val="single" w:sz="8" w:space="0" w:color="D9D9D9"/>
              <w:bottom w:val="single" w:sz="8" w:space="0" w:color="D9D9D9"/>
              <w:right w:val="single" w:sz="8" w:space="0" w:color="D9D9D9"/>
            </w:tcBorders>
            <w:shd w:val="clear" w:color="000000" w:fill="B58C0A"/>
            <w:noWrap/>
            <w:vAlign w:val="center"/>
            <w:hideMark/>
          </w:tcPr>
          <w:p w14:paraId="1E98FB7D"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2015</w:t>
            </w:r>
          </w:p>
        </w:tc>
        <w:tc>
          <w:tcPr>
            <w:tcW w:w="1012" w:type="dxa"/>
            <w:tcBorders>
              <w:top w:val="single" w:sz="8" w:space="0" w:color="D9D9D9"/>
              <w:left w:val="single" w:sz="8" w:space="0" w:color="D9D9D9"/>
              <w:bottom w:val="single" w:sz="8" w:space="0" w:color="D9D9D9"/>
              <w:right w:val="single" w:sz="8" w:space="0" w:color="D9D9D9"/>
            </w:tcBorders>
            <w:shd w:val="clear" w:color="000000" w:fill="B58C0A"/>
            <w:vAlign w:val="center"/>
            <w:hideMark/>
          </w:tcPr>
          <w:p w14:paraId="6DF4A3CE"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2016</w:t>
            </w:r>
          </w:p>
        </w:tc>
        <w:tc>
          <w:tcPr>
            <w:tcW w:w="1013" w:type="dxa"/>
            <w:tcBorders>
              <w:top w:val="single" w:sz="8" w:space="0" w:color="D9D9D9"/>
              <w:left w:val="single" w:sz="8" w:space="0" w:color="D9D9D9"/>
              <w:bottom w:val="single" w:sz="8" w:space="0" w:color="D9D9D9"/>
              <w:right w:val="single" w:sz="8" w:space="0" w:color="D9D9D9"/>
            </w:tcBorders>
            <w:shd w:val="clear" w:color="000000" w:fill="B58C0A"/>
            <w:vAlign w:val="center"/>
            <w:hideMark/>
          </w:tcPr>
          <w:p w14:paraId="5D3CF4EB"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2017</w:t>
            </w:r>
          </w:p>
        </w:tc>
        <w:tc>
          <w:tcPr>
            <w:tcW w:w="1012" w:type="dxa"/>
            <w:tcBorders>
              <w:top w:val="single" w:sz="8" w:space="0" w:color="D9D9D9"/>
              <w:left w:val="single" w:sz="8" w:space="0" w:color="D9D9D9"/>
              <w:bottom w:val="single" w:sz="8" w:space="0" w:color="D9D9D9"/>
              <w:right w:val="single" w:sz="8" w:space="0" w:color="D9D9D9"/>
            </w:tcBorders>
            <w:shd w:val="clear" w:color="000000" w:fill="B58C0A"/>
            <w:vAlign w:val="center"/>
            <w:hideMark/>
          </w:tcPr>
          <w:p w14:paraId="068CC88C"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2018</w:t>
            </w:r>
          </w:p>
        </w:tc>
        <w:tc>
          <w:tcPr>
            <w:tcW w:w="1013" w:type="dxa"/>
            <w:tcBorders>
              <w:top w:val="single" w:sz="8" w:space="0" w:color="D9D9D9"/>
              <w:left w:val="nil"/>
              <w:right w:val="single" w:sz="8" w:space="0" w:color="D9D9D9"/>
            </w:tcBorders>
            <w:shd w:val="clear" w:color="000000" w:fill="B58C0A"/>
            <w:vAlign w:val="center"/>
            <w:hideMark/>
          </w:tcPr>
          <w:p w14:paraId="61F648EC" w14:textId="77777777"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Growth</w:t>
            </w:r>
          </w:p>
          <w:p w14:paraId="40586A10" w14:textId="089C8AB9" w:rsidR="00894471" w:rsidRPr="008F3B5B" w:rsidRDefault="00894471" w:rsidP="008F3B5B">
            <w:pPr>
              <w:jc w:val="center"/>
              <w:rPr>
                <w:rFonts w:cs="Arial"/>
                <w:b/>
                <w:color w:val="FFFFFF" w:themeColor="background1"/>
                <w:sz w:val="20"/>
                <w:szCs w:val="20"/>
                <w:lang w:eastAsia="en-AU"/>
              </w:rPr>
            </w:pPr>
            <w:r w:rsidRPr="008F3B5B">
              <w:rPr>
                <w:rFonts w:cs="Arial"/>
                <w:b/>
                <w:color w:val="FFFFFF" w:themeColor="background1"/>
                <w:sz w:val="20"/>
                <w:szCs w:val="20"/>
                <w:lang w:eastAsia="en-AU"/>
              </w:rPr>
              <w:t>(13–18)</w:t>
            </w:r>
          </w:p>
        </w:tc>
      </w:tr>
      <w:tr w:rsidR="00894471" w:rsidRPr="003E1EBA" w14:paraId="67F7B3FD"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15F606FD" w14:textId="77777777" w:rsidR="00894471" w:rsidRPr="00387739" w:rsidRDefault="00894471" w:rsidP="005267D3">
            <w:pPr>
              <w:rPr>
                <w:rFonts w:cs="Arial"/>
                <w:b/>
                <w:color w:val="000000"/>
                <w:sz w:val="20"/>
                <w:szCs w:val="20"/>
                <w:lang w:eastAsia="en-AU"/>
              </w:rPr>
            </w:pPr>
            <w:r w:rsidRPr="00387739">
              <w:rPr>
                <w:rFonts w:cs="Arial"/>
                <w:b/>
                <w:sz w:val="20"/>
                <w:szCs w:val="20"/>
                <w:lang w:eastAsia="en-AU"/>
              </w:rPr>
              <w:t>All Undergraduates</w:t>
            </w:r>
          </w:p>
        </w:tc>
        <w:tc>
          <w:tcPr>
            <w:tcW w:w="1012" w:type="dxa"/>
            <w:tcBorders>
              <w:top w:val="nil"/>
              <w:left w:val="nil"/>
              <w:bottom w:val="single" w:sz="8" w:space="0" w:color="D9D9D9"/>
              <w:right w:val="single" w:sz="8" w:space="0" w:color="D9D9D9"/>
            </w:tcBorders>
            <w:shd w:val="clear" w:color="000000" w:fill="FFFFFF"/>
            <w:noWrap/>
            <w:vAlign w:val="center"/>
            <w:hideMark/>
          </w:tcPr>
          <w:p w14:paraId="1A76CDDC"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679,222</w:t>
            </w:r>
          </w:p>
        </w:tc>
        <w:tc>
          <w:tcPr>
            <w:tcW w:w="1012" w:type="dxa"/>
            <w:tcBorders>
              <w:top w:val="nil"/>
              <w:left w:val="nil"/>
              <w:bottom w:val="single" w:sz="8" w:space="0" w:color="D9D9D9"/>
              <w:right w:val="single" w:sz="8" w:space="0" w:color="D9D9D9"/>
            </w:tcBorders>
            <w:shd w:val="clear" w:color="000000" w:fill="FFFFFF"/>
            <w:noWrap/>
            <w:vAlign w:val="center"/>
            <w:hideMark/>
          </w:tcPr>
          <w:p w14:paraId="5AC4425E"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706,278</w:t>
            </w:r>
          </w:p>
        </w:tc>
        <w:tc>
          <w:tcPr>
            <w:tcW w:w="1013" w:type="dxa"/>
            <w:tcBorders>
              <w:top w:val="nil"/>
              <w:left w:val="nil"/>
              <w:bottom w:val="single" w:sz="8" w:space="0" w:color="D9D9D9"/>
              <w:right w:val="single" w:sz="8" w:space="0" w:color="D9D9D9"/>
            </w:tcBorders>
            <w:shd w:val="clear" w:color="000000" w:fill="FFFFFF"/>
            <w:noWrap/>
            <w:vAlign w:val="center"/>
            <w:hideMark/>
          </w:tcPr>
          <w:p w14:paraId="3632FAFF"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727,786</w:t>
            </w:r>
          </w:p>
        </w:tc>
        <w:tc>
          <w:tcPr>
            <w:tcW w:w="1012" w:type="dxa"/>
            <w:tcBorders>
              <w:top w:val="nil"/>
              <w:left w:val="nil"/>
              <w:bottom w:val="single" w:sz="8" w:space="0" w:color="D9D9D9"/>
              <w:right w:val="single" w:sz="8" w:space="0" w:color="D9D9D9"/>
            </w:tcBorders>
            <w:shd w:val="clear" w:color="000000" w:fill="FFFFFF"/>
            <w:vAlign w:val="center"/>
            <w:hideMark/>
          </w:tcPr>
          <w:p w14:paraId="5CD3E339"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743,030</w:t>
            </w:r>
          </w:p>
        </w:tc>
        <w:tc>
          <w:tcPr>
            <w:tcW w:w="1013" w:type="dxa"/>
            <w:tcBorders>
              <w:top w:val="nil"/>
              <w:left w:val="nil"/>
              <w:bottom w:val="single" w:sz="8" w:space="0" w:color="D9D9D9"/>
              <w:right w:val="single" w:sz="8" w:space="0" w:color="D9D9D9"/>
            </w:tcBorders>
            <w:shd w:val="clear" w:color="000000" w:fill="FFFFFF"/>
            <w:vAlign w:val="center"/>
            <w:hideMark/>
          </w:tcPr>
          <w:p w14:paraId="47C0F2B3"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759,151</w:t>
            </w:r>
          </w:p>
        </w:tc>
        <w:tc>
          <w:tcPr>
            <w:tcW w:w="1012" w:type="dxa"/>
            <w:tcBorders>
              <w:top w:val="nil"/>
              <w:left w:val="nil"/>
              <w:bottom w:val="single" w:sz="8" w:space="0" w:color="D9D9D9"/>
              <w:right w:val="single" w:sz="8" w:space="0" w:color="D9D9D9"/>
            </w:tcBorders>
            <w:shd w:val="clear" w:color="000000" w:fill="FFFFFF"/>
            <w:vAlign w:val="center"/>
            <w:hideMark/>
          </w:tcPr>
          <w:p w14:paraId="502B9392"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764,652</w:t>
            </w:r>
          </w:p>
        </w:tc>
        <w:tc>
          <w:tcPr>
            <w:tcW w:w="1013" w:type="dxa"/>
            <w:tcBorders>
              <w:top w:val="nil"/>
              <w:left w:val="nil"/>
              <w:bottom w:val="single" w:sz="8" w:space="0" w:color="D9D9D9"/>
              <w:right w:val="single" w:sz="8" w:space="0" w:color="D9D9D9"/>
            </w:tcBorders>
            <w:shd w:val="clear" w:color="000000" w:fill="FFFFFF"/>
            <w:vAlign w:val="center"/>
            <w:hideMark/>
          </w:tcPr>
          <w:p w14:paraId="32C91A03" w14:textId="77777777" w:rsidR="00894471" w:rsidRPr="00387739" w:rsidRDefault="00894471" w:rsidP="008F3B5B">
            <w:pPr>
              <w:jc w:val="right"/>
              <w:rPr>
                <w:rFonts w:cs="Arial"/>
                <w:b/>
                <w:color w:val="000000"/>
                <w:sz w:val="20"/>
                <w:szCs w:val="20"/>
                <w:lang w:eastAsia="en-AU"/>
              </w:rPr>
            </w:pPr>
            <w:r w:rsidRPr="00387739">
              <w:rPr>
                <w:rFonts w:cs="Arial"/>
                <w:b/>
                <w:sz w:val="20"/>
                <w:szCs w:val="20"/>
                <w:lang w:eastAsia="en-AU"/>
              </w:rPr>
              <w:t>12.6%</w:t>
            </w:r>
          </w:p>
        </w:tc>
      </w:tr>
      <w:tr w:rsidR="00894471" w:rsidRPr="003E1EBA" w14:paraId="6B19AB5D"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24C0D504"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Low SES</w:t>
            </w:r>
          </w:p>
        </w:tc>
        <w:tc>
          <w:tcPr>
            <w:tcW w:w="1012" w:type="dxa"/>
            <w:tcBorders>
              <w:top w:val="nil"/>
              <w:left w:val="nil"/>
              <w:bottom w:val="single" w:sz="8" w:space="0" w:color="D9D9D9"/>
              <w:right w:val="single" w:sz="8" w:space="0" w:color="D9D9D9"/>
            </w:tcBorders>
            <w:shd w:val="clear" w:color="000000" w:fill="FFF6E0"/>
            <w:noWrap/>
            <w:vAlign w:val="center"/>
            <w:hideMark/>
          </w:tcPr>
          <w:p w14:paraId="14B8C7B5"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107,219</w:t>
            </w:r>
          </w:p>
        </w:tc>
        <w:tc>
          <w:tcPr>
            <w:tcW w:w="1012" w:type="dxa"/>
            <w:tcBorders>
              <w:top w:val="nil"/>
              <w:left w:val="nil"/>
              <w:bottom w:val="single" w:sz="8" w:space="0" w:color="D9D9D9"/>
              <w:right w:val="single" w:sz="8" w:space="0" w:color="D9D9D9"/>
            </w:tcBorders>
            <w:shd w:val="clear" w:color="000000" w:fill="FFF6E0"/>
            <w:noWrap/>
            <w:vAlign w:val="center"/>
            <w:hideMark/>
          </w:tcPr>
          <w:p w14:paraId="0FD228A6"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111,004</w:t>
            </w:r>
          </w:p>
        </w:tc>
        <w:tc>
          <w:tcPr>
            <w:tcW w:w="1013" w:type="dxa"/>
            <w:tcBorders>
              <w:top w:val="nil"/>
              <w:left w:val="nil"/>
              <w:bottom w:val="single" w:sz="8" w:space="0" w:color="D9D9D9"/>
              <w:right w:val="single" w:sz="8" w:space="0" w:color="D9D9D9"/>
            </w:tcBorders>
            <w:shd w:val="clear" w:color="000000" w:fill="FFF6E0"/>
            <w:noWrap/>
            <w:vAlign w:val="center"/>
            <w:hideMark/>
          </w:tcPr>
          <w:p w14:paraId="0C6E1D22"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115,840</w:t>
            </w:r>
          </w:p>
        </w:tc>
        <w:tc>
          <w:tcPr>
            <w:tcW w:w="1012" w:type="dxa"/>
            <w:tcBorders>
              <w:top w:val="nil"/>
              <w:left w:val="nil"/>
              <w:bottom w:val="single" w:sz="8" w:space="0" w:color="D9D9D9"/>
              <w:right w:val="single" w:sz="8" w:space="0" w:color="D9D9D9"/>
            </w:tcBorders>
            <w:shd w:val="clear" w:color="000000" w:fill="FFF6E0"/>
            <w:vAlign w:val="center"/>
            <w:hideMark/>
          </w:tcPr>
          <w:p w14:paraId="776056FF"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126,293</w:t>
            </w:r>
          </w:p>
        </w:tc>
        <w:tc>
          <w:tcPr>
            <w:tcW w:w="1013" w:type="dxa"/>
            <w:tcBorders>
              <w:top w:val="nil"/>
              <w:left w:val="nil"/>
              <w:bottom w:val="single" w:sz="8" w:space="0" w:color="D9D9D9"/>
              <w:right w:val="single" w:sz="8" w:space="0" w:color="D9D9D9"/>
            </w:tcBorders>
            <w:shd w:val="clear" w:color="000000" w:fill="FFF6E0"/>
            <w:vAlign w:val="center"/>
            <w:hideMark/>
          </w:tcPr>
          <w:p w14:paraId="45F676F0"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129,554</w:t>
            </w:r>
          </w:p>
        </w:tc>
        <w:tc>
          <w:tcPr>
            <w:tcW w:w="1012" w:type="dxa"/>
            <w:tcBorders>
              <w:top w:val="nil"/>
              <w:left w:val="nil"/>
              <w:bottom w:val="single" w:sz="8" w:space="0" w:color="D9D9D9"/>
              <w:right w:val="single" w:sz="8" w:space="0" w:color="D9D9D9"/>
            </w:tcBorders>
            <w:shd w:val="clear" w:color="000000" w:fill="FFF6E0"/>
            <w:vAlign w:val="center"/>
            <w:hideMark/>
          </w:tcPr>
          <w:p w14:paraId="1B3DAA3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129,858</w:t>
            </w:r>
          </w:p>
        </w:tc>
        <w:tc>
          <w:tcPr>
            <w:tcW w:w="1013" w:type="dxa"/>
            <w:tcBorders>
              <w:top w:val="nil"/>
              <w:left w:val="nil"/>
              <w:bottom w:val="single" w:sz="8" w:space="0" w:color="D9D9D9"/>
              <w:right w:val="single" w:sz="8" w:space="0" w:color="D9D9D9"/>
            </w:tcBorders>
            <w:shd w:val="clear" w:color="000000" w:fill="FFF6E0"/>
            <w:vAlign w:val="center"/>
            <w:hideMark/>
          </w:tcPr>
          <w:p w14:paraId="27B8797E"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21.1%</w:t>
            </w:r>
          </w:p>
        </w:tc>
      </w:tr>
      <w:tr w:rsidR="00894471" w:rsidRPr="003E1EBA" w14:paraId="5C324A19"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52D011C2"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Students with Disability</w:t>
            </w:r>
          </w:p>
        </w:tc>
        <w:tc>
          <w:tcPr>
            <w:tcW w:w="1012" w:type="dxa"/>
            <w:tcBorders>
              <w:top w:val="nil"/>
              <w:left w:val="nil"/>
              <w:bottom w:val="single" w:sz="8" w:space="0" w:color="D9D9D9"/>
              <w:right w:val="single" w:sz="8" w:space="0" w:color="D9D9D9"/>
            </w:tcBorders>
            <w:shd w:val="clear" w:color="000000" w:fill="FFFFFF"/>
            <w:noWrap/>
            <w:vAlign w:val="center"/>
            <w:hideMark/>
          </w:tcPr>
          <w:p w14:paraId="13462CCD"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37,032</w:t>
            </w:r>
          </w:p>
        </w:tc>
        <w:tc>
          <w:tcPr>
            <w:tcW w:w="1012" w:type="dxa"/>
            <w:tcBorders>
              <w:top w:val="nil"/>
              <w:left w:val="nil"/>
              <w:bottom w:val="single" w:sz="8" w:space="0" w:color="D9D9D9"/>
              <w:right w:val="single" w:sz="8" w:space="0" w:color="D9D9D9"/>
            </w:tcBorders>
            <w:shd w:val="clear" w:color="000000" w:fill="FFFFFF"/>
            <w:noWrap/>
            <w:vAlign w:val="center"/>
            <w:hideMark/>
          </w:tcPr>
          <w:p w14:paraId="0631687A"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40,679</w:t>
            </w:r>
          </w:p>
        </w:tc>
        <w:tc>
          <w:tcPr>
            <w:tcW w:w="1013" w:type="dxa"/>
            <w:tcBorders>
              <w:top w:val="nil"/>
              <w:left w:val="nil"/>
              <w:bottom w:val="single" w:sz="8" w:space="0" w:color="D9D9D9"/>
              <w:right w:val="single" w:sz="8" w:space="0" w:color="D9D9D9"/>
            </w:tcBorders>
            <w:shd w:val="clear" w:color="000000" w:fill="FFFFFF"/>
            <w:noWrap/>
            <w:vAlign w:val="center"/>
            <w:hideMark/>
          </w:tcPr>
          <w:p w14:paraId="3081C60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44,856</w:t>
            </w:r>
          </w:p>
        </w:tc>
        <w:tc>
          <w:tcPr>
            <w:tcW w:w="1012" w:type="dxa"/>
            <w:tcBorders>
              <w:top w:val="nil"/>
              <w:left w:val="nil"/>
              <w:bottom w:val="single" w:sz="8" w:space="0" w:color="D9D9D9"/>
              <w:right w:val="single" w:sz="8" w:space="0" w:color="D9D9D9"/>
            </w:tcBorders>
            <w:shd w:val="clear" w:color="000000" w:fill="FFFFFF"/>
            <w:vAlign w:val="center"/>
            <w:hideMark/>
          </w:tcPr>
          <w:p w14:paraId="7D9776E6"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47,970</w:t>
            </w:r>
          </w:p>
        </w:tc>
        <w:tc>
          <w:tcPr>
            <w:tcW w:w="1013" w:type="dxa"/>
            <w:tcBorders>
              <w:top w:val="nil"/>
              <w:left w:val="nil"/>
              <w:bottom w:val="single" w:sz="8" w:space="0" w:color="D9D9D9"/>
              <w:right w:val="single" w:sz="8" w:space="0" w:color="D9D9D9"/>
            </w:tcBorders>
            <w:shd w:val="clear" w:color="000000" w:fill="FFFFFF"/>
            <w:vAlign w:val="center"/>
            <w:hideMark/>
          </w:tcPr>
          <w:p w14:paraId="36B94CC4"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51,773</w:t>
            </w:r>
          </w:p>
        </w:tc>
        <w:tc>
          <w:tcPr>
            <w:tcW w:w="1012" w:type="dxa"/>
            <w:tcBorders>
              <w:top w:val="nil"/>
              <w:left w:val="nil"/>
              <w:bottom w:val="single" w:sz="8" w:space="0" w:color="D9D9D9"/>
              <w:right w:val="single" w:sz="8" w:space="0" w:color="D9D9D9"/>
            </w:tcBorders>
            <w:shd w:val="clear" w:color="000000" w:fill="FFFFFF"/>
            <w:vAlign w:val="center"/>
            <w:hideMark/>
          </w:tcPr>
          <w:p w14:paraId="7DC2D4BD"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55,565</w:t>
            </w:r>
          </w:p>
        </w:tc>
        <w:tc>
          <w:tcPr>
            <w:tcW w:w="1013" w:type="dxa"/>
            <w:tcBorders>
              <w:top w:val="nil"/>
              <w:left w:val="nil"/>
              <w:bottom w:val="single" w:sz="8" w:space="0" w:color="D9D9D9"/>
              <w:right w:val="single" w:sz="8" w:space="0" w:color="D9D9D9"/>
            </w:tcBorders>
            <w:shd w:val="clear" w:color="000000" w:fill="FFFFFF"/>
            <w:vAlign w:val="center"/>
            <w:hideMark/>
          </w:tcPr>
          <w:p w14:paraId="36685930"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50.0%</w:t>
            </w:r>
          </w:p>
        </w:tc>
      </w:tr>
      <w:tr w:rsidR="00894471" w:rsidRPr="003E1EBA" w14:paraId="3B507C83"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10517BC0"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Indigenous</w:t>
            </w:r>
          </w:p>
        </w:tc>
        <w:tc>
          <w:tcPr>
            <w:tcW w:w="1012" w:type="dxa"/>
            <w:tcBorders>
              <w:top w:val="nil"/>
              <w:left w:val="nil"/>
              <w:bottom w:val="single" w:sz="8" w:space="0" w:color="D9D9D9"/>
              <w:right w:val="single" w:sz="8" w:space="0" w:color="D9D9D9"/>
            </w:tcBorders>
            <w:shd w:val="clear" w:color="000000" w:fill="FFF6E0"/>
            <w:noWrap/>
            <w:vAlign w:val="center"/>
            <w:hideMark/>
          </w:tcPr>
          <w:p w14:paraId="21051FF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10,018</w:t>
            </w:r>
          </w:p>
        </w:tc>
        <w:tc>
          <w:tcPr>
            <w:tcW w:w="1012" w:type="dxa"/>
            <w:tcBorders>
              <w:top w:val="nil"/>
              <w:left w:val="nil"/>
              <w:bottom w:val="single" w:sz="8" w:space="0" w:color="D9D9D9"/>
              <w:right w:val="single" w:sz="8" w:space="0" w:color="D9D9D9"/>
            </w:tcBorders>
            <w:shd w:val="clear" w:color="000000" w:fill="FFF6E0"/>
            <w:noWrap/>
            <w:vAlign w:val="center"/>
            <w:hideMark/>
          </w:tcPr>
          <w:p w14:paraId="5CA8D8F7"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10,939</w:t>
            </w:r>
          </w:p>
        </w:tc>
        <w:tc>
          <w:tcPr>
            <w:tcW w:w="1013" w:type="dxa"/>
            <w:tcBorders>
              <w:top w:val="nil"/>
              <w:left w:val="nil"/>
              <w:bottom w:val="single" w:sz="8" w:space="0" w:color="D9D9D9"/>
              <w:right w:val="single" w:sz="8" w:space="0" w:color="D9D9D9"/>
            </w:tcBorders>
            <w:shd w:val="clear" w:color="000000" w:fill="FFF6E0"/>
            <w:noWrap/>
            <w:vAlign w:val="center"/>
            <w:hideMark/>
          </w:tcPr>
          <w:p w14:paraId="54987470"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11,845</w:t>
            </w:r>
          </w:p>
        </w:tc>
        <w:tc>
          <w:tcPr>
            <w:tcW w:w="1012" w:type="dxa"/>
            <w:tcBorders>
              <w:top w:val="nil"/>
              <w:left w:val="nil"/>
              <w:bottom w:val="single" w:sz="8" w:space="0" w:color="D9D9D9"/>
              <w:right w:val="single" w:sz="8" w:space="0" w:color="D9D9D9"/>
            </w:tcBorders>
            <w:shd w:val="clear" w:color="000000" w:fill="FFF6E0"/>
            <w:vAlign w:val="center"/>
            <w:hideMark/>
          </w:tcPr>
          <w:p w14:paraId="77B7DE6D"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12,878</w:t>
            </w:r>
          </w:p>
        </w:tc>
        <w:tc>
          <w:tcPr>
            <w:tcW w:w="1013" w:type="dxa"/>
            <w:tcBorders>
              <w:top w:val="nil"/>
              <w:left w:val="nil"/>
              <w:bottom w:val="single" w:sz="8" w:space="0" w:color="D9D9D9"/>
              <w:right w:val="single" w:sz="8" w:space="0" w:color="D9D9D9"/>
            </w:tcBorders>
            <w:shd w:val="clear" w:color="000000" w:fill="FFF6E0"/>
            <w:vAlign w:val="center"/>
            <w:hideMark/>
          </w:tcPr>
          <w:p w14:paraId="63DCF175"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13,855</w:t>
            </w:r>
          </w:p>
        </w:tc>
        <w:tc>
          <w:tcPr>
            <w:tcW w:w="1012" w:type="dxa"/>
            <w:tcBorders>
              <w:top w:val="nil"/>
              <w:left w:val="nil"/>
              <w:bottom w:val="single" w:sz="8" w:space="0" w:color="D9D9D9"/>
              <w:right w:val="single" w:sz="8" w:space="0" w:color="D9D9D9"/>
            </w:tcBorders>
            <w:shd w:val="clear" w:color="000000" w:fill="FFF6E0"/>
            <w:vAlign w:val="center"/>
            <w:hideMark/>
          </w:tcPr>
          <w:p w14:paraId="2E280B11"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14,314</w:t>
            </w:r>
          </w:p>
        </w:tc>
        <w:tc>
          <w:tcPr>
            <w:tcW w:w="1013" w:type="dxa"/>
            <w:tcBorders>
              <w:top w:val="nil"/>
              <w:left w:val="nil"/>
              <w:bottom w:val="single" w:sz="8" w:space="0" w:color="D9D9D9"/>
              <w:right w:val="single" w:sz="8" w:space="0" w:color="D9D9D9"/>
            </w:tcBorders>
            <w:shd w:val="clear" w:color="000000" w:fill="FFF6E0"/>
            <w:vAlign w:val="center"/>
            <w:hideMark/>
          </w:tcPr>
          <w:p w14:paraId="513D64CA"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42.9%</w:t>
            </w:r>
          </w:p>
        </w:tc>
      </w:tr>
      <w:tr w:rsidR="00894471" w:rsidRPr="003E1EBA" w14:paraId="5D131ADD"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19C59358"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WINTA</w:t>
            </w:r>
          </w:p>
        </w:tc>
        <w:tc>
          <w:tcPr>
            <w:tcW w:w="1012" w:type="dxa"/>
            <w:tcBorders>
              <w:top w:val="nil"/>
              <w:left w:val="nil"/>
              <w:bottom w:val="single" w:sz="8" w:space="0" w:color="D9D9D9"/>
              <w:right w:val="single" w:sz="8" w:space="0" w:color="D9D9D9"/>
            </w:tcBorders>
            <w:shd w:val="clear" w:color="000000" w:fill="FFFFFF"/>
            <w:noWrap/>
            <w:vAlign w:val="center"/>
            <w:hideMark/>
          </w:tcPr>
          <w:p w14:paraId="4BB26412"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119,810</w:t>
            </w:r>
          </w:p>
        </w:tc>
        <w:tc>
          <w:tcPr>
            <w:tcW w:w="1012" w:type="dxa"/>
            <w:tcBorders>
              <w:top w:val="nil"/>
              <w:left w:val="nil"/>
              <w:bottom w:val="single" w:sz="8" w:space="0" w:color="D9D9D9"/>
              <w:right w:val="single" w:sz="8" w:space="0" w:color="D9D9D9"/>
            </w:tcBorders>
            <w:shd w:val="clear" w:color="000000" w:fill="FFFFFF"/>
            <w:noWrap/>
            <w:vAlign w:val="center"/>
            <w:hideMark/>
          </w:tcPr>
          <w:p w14:paraId="15B5DCD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124,159</w:t>
            </w:r>
          </w:p>
        </w:tc>
        <w:tc>
          <w:tcPr>
            <w:tcW w:w="1013" w:type="dxa"/>
            <w:tcBorders>
              <w:top w:val="nil"/>
              <w:left w:val="nil"/>
              <w:bottom w:val="single" w:sz="8" w:space="0" w:color="D9D9D9"/>
              <w:right w:val="single" w:sz="8" w:space="0" w:color="D9D9D9"/>
            </w:tcBorders>
            <w:shd w:val="clear" w:color="000000" w:fill="FFFFFF"/>
            <w:noWrap/>
            <w:vAlign w:val="center"/>
            <w:hideMark/>
          </w:tcPr>
          <w:p w14:paraId="7CE6A0F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125,888</w:t>
            </w:r>
          </w:p>
        </w:tc>
        <w:tc>
          <w:tcPr>
            <w:tcW w:w="1012" w:type="dxa"/>
            <w:tcBorders>
              <w:top w:val="nil"/>
              <w:left w:val="nil"/>
              <w:bottom w:val="single" w:sz="8" w:space="0" w:color="D9D9D9"/>
              <w:right w:val="single" w:sz="8" w:space="0" w:color="D9D9D9"/>
            </w:tcBorders>
            <w:shd w:val="clear" w:color="000000" w:fill="FFFFFF"/>
            <w:vAlign w:val="center"/>
            <w:hideMark/>
          </w:tcPr>
          <w:p w14:paraId="36BAE52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128,210</w:t>
            </w:r>
          </w:p>
        </w:tc>
        <w:tc>
          <w:tcPr>
            <w:tcW w:w="1013" w:type="dxa"/>
            <w:tcBorders>
              <w:top w:val="nil"/>
              <w:left w:val="nil"/>
              <w:bottom w:val="single" w:sz="8" w:space="0" w:color="D9D9D9"/>
              <w:right w:val="single" w:sz="8" w:space="0" w:color="D9D9D9"/>
            </w:tcBorders>
            <w:shd w:val="clear" w:color="000000" w:fill="FFFFFF"/>
            <w:vAlign w:val="center"/>
            <w:hideMark/>
          </w:tcPr>
          <w:p w14:paraId="3AF6AC1D"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131,452</w:t>
            </w:r>
          </w:p>
        </w:tc>
        <w:tc>
          <w:tcPr>
            <w:tcW w:w="1012" w:type="dxa"/>
            <w:tcBorders>
              <w:top w:val="nil"/>
              <w:left w:val="nil"/>
              <w:bottom w:val="single" w:sz="8" w:space="0" w:color="D9D9D9"/>
              <w:right w:val="single" w:sz="8" w:space="0" w:color="D9D9D9"/>
            </w:tcBorders>
            <w:shd w:val="clear" w:color="000000" w:fill="FFFFFF"/>
            <w:vAlign w:val="center"/>
            <w:hideMark/>
          </w:tcPr>
          <w:p w14:paraId="2435BA4A"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134,406</w:t>
            </w:r>
          </w:p>
        </w:tc>
        <w:tc>
          <w:tcPr>
            <w:tcW w:w="1013" w:type="dxa"/>
            <w:tcBorders>
              <w:top w:val="nil"/>
              <w:left w:val="nil"/>
              <w:bottom w:val="single" w:sz="8" w:space="0" w:color="D9D9D9"/>
              <w:right w:val="single" w:sz="8" w:space="0" w:color="D9D9D9"/>
            </w:tcBorders>
            <w:shd w:val="clear" w:color="000000" w:fill="FFFFFF"/>
            <w:vAlign w:val="center"/>
            <w:hideMark/>
          </w:tcPr>
          <w:p w14:paraId="3C3875FC"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12.2%</w:t>
            </w:r>
          </w:p>
        </w:tc>
      </w:tr>
      <w:tr w:rsidR="00894471" w:rsidRPr="003E1EBA" w14:paraId="08A568AD"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40FA73B7"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Regional</w:t>
            </w:r>
          </w:p>
        </w:tc>
        <w:tc>
          <w:tcPr>
            <w:tcW w:w="1012" w:type="dxa"/>
            <w:tcBorders>
              <w:top w:val="nil"/>
              <w:left w:val="nil"/>
              <w:bottom w:val="single" w:sz="8" w:space="0" w:color="D9D9D9"/>
              <w:right w:val="single" w:sz="8" w:space="0" w:color="D9D9D9"/>
            </w:tcBorders>
            <w:shd w:val="clear" w:color="000000" w:fill="FFF6E0"/>
            <w:noWrap/>
            <w:vAlign w:val="center"/>
            <w:hideMark/>
          </w:tcPr>
          <w:p w14:paraId="63360EBE"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140,510</w:t>
            </w:r>
          </w:p>
        </w:tc>
        <w:tc>
          <w:tcPr>
            <w:tcW w:w="1012" w:type="dxa"/>
            <w:tcBorders>
              <w:top w:val="nil"/>
              <w:left w:val="nil"/>
              <w:bottom w:val="single" w:sz="8" w:space="0" w:color="D9D9D9"/>
              <w:right w:val="single" w:sz="8" w:space="0" w:color="D9D9D9"/>
            </w:tcBorders>
            <w:shd w:val="clear" w:color="000000" w:fill="FFF6E0"/>
            <w:noWrap/>
            <w:vAlign w:val="center"/>
            <w:hideMark/>
          </w:tcPr>
          <w:p w14:paraId="2BE07201"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145,018</w:t>
            </w:r>
          </w:p>
        </w:tc>
        <w:tc>
          <w:tcPr>
            <w:tcW w:w="1013" w:type="dxa"/>
            <w:tcBorders>
              <w:top w:val="nil"/>
              <w:left w:val="nil"/>
              <w:bottom w:val="single" w:sz="8" w:space="0" w:color="D9D9D9"/>
              <w:right w:val="single" w:sz="8" w:space="0" w:color="D9D9D9"/>
            </w:tcBorders>
            <w:shd w:val="clear" w:color="000000" w:fill="FFF6E0"/>
            <w:noWrap/>
            <w:vAlign w:val="center"/>
            <w:hideMark/>
          </w:tcPr>
          <w:p w14:paraId="5C82682E"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149,001</w:t>
            </w:r>
          </w:p>
        </w:tc>
        <w:tc>
          <w:tcPr>
            <w:tcW w:w="1012" w:type="dxa"/>
            <w:tcBorders>
              <w:top w:val="nil"/>
              <w:left w:val="nil"/>
              <w:bottom w:val="single" w:sz="8" w:space="0" w:color="D9D9D9"/>
              <w:right w:val="single" w:sz="8" w:space="0" w:color="D9D9D9"/>
            </w:tcBorders>
            <w:shd w:val="clear" w:color="000000" w:fill="FFF6E0"/>
            <w:vAlign w:val="center"/>
            <w:hideMark/>
          </w:tcPr>
          <w:p w14:paraId="11E3820F"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150,441</w:t>
            </w:r>
          </w:p>
        </w:tc>
        <w:tc>
          <w:tcPr>
            <w:tcW w:w="1013" w:type="dxa"/>
            <w:tcBorders>
              <w:top w:val="nil"/>
              <w:left w:val="nil"/>
              <w:bottom w:val="single" w:sz="8" w:space="0" w:color="D9D9D9"/>
              <w:right w:val="single" w:sz="8" w:space="0" w:color="D9D9D9"/>
            </w:tcBorders>
            <w:shd w:val="clear" w:color="000000" w:fill="FFF6E0"/>
            <w:vAlign w:val="center"/>
            <w:hideMark/>
          </w:tcPr>
          <w:p w14:paraId="600128A7"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153,800</w:t>
            </w:r>
          </w:p>
        </w:tc>
        <w:tc>
          <w:tcPr>
            <w:tcW w:w="1012" w:type="dxa"/>
            <w:tcBorders>
              <w:top w:val="nil"/>
              <w:left w:val="nil"/>
              <w:bottom w:val="single" w:sz="8" w:space="0" w:color="D9D9D9"/>
              <w:right w:val="single" w:sz="8" w:space="0" w:color="D9D9D9"/>
            </w:tcBorders>
            <w:shd w:val="clear" w:color="000000" w:fill="FFF6E0"/>
            <w:vAlign w:val="center"/>
            <w:hideMark/>
          </w:tcPr>
          <w:p w14:paraId="27817925"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151,636</w:t>
            </w:r>
          </w:p>
        </w:tc>
        <w:tc>
          <w:tcPr>
            <w:tcW w:w="1013" w:type="dxa"/>
            <w:tcBorders>
              <w:top w:val="nil"/>
              <w:left w:val="nil"/>
              <w:bottom w:val="single" w:sz="8" w:space="0" w:color="D9D9D9"/>
              <w:right w:val="single" w:sz="8" w:space="0" w:color="D9D9D9"/>
            </w:tcBorders>
            <w:shd w:val="clear" w:color="000000" w:fill="FFF6E0"/>
            <w:vAlign w:val="center"/>
            <w:hideMark/>
          </w:tcPr>
          <w:p w14:paraId="2D113831"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7.9%</w:t>
            </w:r>
          </w:p>
        </w:tc>
      </w:tr>
      <w:tr w:rsidR="00894471" w:rsidRPr="003E1EBA" w14:paraId="37F07893"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4CAD6327"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Remote</w:t>
            </w:r>
          </w:p>
        </w:tc>
        <w:tc>
          <w:tcPr>
            <w:tcW w:w="1012" w:type="dxa"/>
            <w:tcBorders>
              <w:top w:val="nil"/>
              <w:left w:val="nil"/>
              <w:bottom w:val="single" w:sz="8" w:space="0" w:color="D9D9D9"/>
              <w:right w:val="single" w:sz="8" w:space="0" w:color="D9D9D9"/>
            </w:tcBorders>
            <w:shd w:val="clear" w:color="000000" w:fill="FFFFFF"/>
            <w:noWrap/>
            <w:vAlign w:val="center"/>
            <w:hideMark/>
          </w:tcPr>
          <w:p w14:paraId="32C1B2C0"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5,682</w:t>
            </w:r>
          </w:p>
        </w:tc>
        <w:tc>
          <w:tcPr>
            <w:tcW w:w="1012" w:type="dxa"/>
            <w:tcBorders>
              <w:top w:val="nil"/>
              <w:left w:val="nil"/>
              <w:bottom w:val="single" w:sz="8" w:space="0" w:color="D9D9D9"/>
              <w:right w:val="single" w:sz="8" w:space="0" w:color="D9D9D9"/>
            </w:tcBorders>
            <w:shd w:val="clear" w:color="000000" w:fill="FFFFFF"/>
            <w:noWrap/>
            <w:vAlign w:val="center"/>
            <w:hideMark/>
          </w:tcPr>
          <w:p w14:paraId="4BF33296"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5,848</w:t>
            </w:r>
          </w:p>
        </w:tc>
        <w:tc>
          <w:tcPr>
            <w:tcW w:w="1013" w:type="dxa"/>
            <w:tcBorders>
              <w:top w:val="nil"/>
              <w:left w:val="nil"/>
              <w:bottom w:val="single" w:sz="8" w:space="0" w:color="D9D9D9"/>
              <w:right w:val="single" w:sz="8" w:space="0" w:color="D9D9D9"/>
            </w:tcBorders>
            <w:shd w:val="clear" w:color="000000" w:fill="FFFFFF"/>
            <w:noWrap/>
            <w:vAlign w:val="center"/>
            <w:hideMark/>
          </w:tcPr>
          <w:p w14:paraId="4BE87F3B"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5,911</w:t>
            </w:r>
          </w:p>
        </w:tc>
        <w:tc>
          <w:tcPr>
            <w:tcW w:w="1012" w:type="dxa"/>
            <w:tcBorders>
              <w:top w:val="nil"/>
              <w:left w:val="nil"/>
              <w:bottom w:val="single" w:sz="8" w:space="0" w:color="D9D9D9"/>
              <w:right w:val="single" w:sz="8" w:space="0" w:color="D9D9D9"/>
            </w:tcBorders>
            <w:shd w:val="clear" w:color="000000" w:fill="FFFFFF"/>
            <w:vAlign w:val="center"/>
            <w:hideMark/>
          </w:tcPr>
          <w:p w14:paraId="3165D300"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6,036</w:t>
            </w:r>
          </w:p>
        </w:tc>
        <w:tc>
          <w:tcPr>
            <w:tcW w:w="1013" w:type="dxa"/>
            <w:tcBorders>
              <w:top w:val="nil"/>
              <w:left w:val="nil"/>
              <w:bottom w:val="single" w:sz="8" w:space="0" w:color="D9D9D9"/>
              <w:right w:val="single" w:sz="8" w:space="0" w:color="D9D9D9"/>
            </w:tcBorders>
            <w:shd w:val="clear" w:color="000000" w:fill="FFFFFF"/>
            <w:vAlign w:val="center"/>
            <w:hideMark/>
          </w:tcPr>
          <w:p w14:paraId="2A5C754D"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6,167</w:t>
            </w:r>
          </w:p>
        </w:tc>
        <w:tc>
          <w:tcPr>
            <w:tcW w:w="1012" w:type="dxa"/>
            <w:tcBorders>
              <w:top w:val="nil"/>
              <w:left w:val="nil"/>
              <w:bottom w:val="single" w:sz="8" w:space="0" w:color="D9D9D9"/>
              <w:right w:val="single" w:sz="8" w:space="0" w:color="D9D9D9"/>
            </w:tcBorders>
            <w:shd w:val="clear" w:color="000000" w:fill="FFFFFF"/>
            <w:vAlign w:val="center"/>
            <w:hideMark/>
          </w:tcPr>
          <w:p w14:paraId="380CDDB2"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6,076</w:t>
            </w:r>
          </w:p>
        </w:tc>
        <w:tc>
          <w:tcPr>
            <w:tcW w:w="1013" w:type="dxa"/>
            <w:tcBorders>
              <w:top w:val="nil"/>
              <w:left w:val="nil"/>
              <w:bottom w:val="single" w:sz="8" w:space="0" w:color="D9D9D9"/>
              <w:right w:val="single" w:sz="8" w:space="0" w:color="D9D9D9"/>
            </w:tcBorders>
            <w:shd w:val="clear" w:color="000000" w:fill="FFFFFF"/>
            <w:vAlign w:val="center"/>
            <w:hideMark/>
          </w:tcPr>
          <w:p w14:paraId="60A1BD85"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6.9%</w:t>
            </w:r>
          </w:p>
        </w:tc>
      </w:tr>
      <w:tr w:rsidR="00894471" w:rsidRPr="003E1EBA" w14:paraId="426D6846"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1F4E7067"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NESB</w:t>
            </w:r>
          </w:p>
        </w:tc>
        <w:tc>
          <w:tcPr>
            <w:tcW w:w="1012" w:type="dxa"/>
            <w:tcBorders>
              <w:top w:val="nil"/>
              <w:left w:val="nil"/>
              <w:bottom w:val="single" w:sz="8" w:space="0" w:color="D9D9D9"/>
              <w:right w:val="single" w:sz="8" w:space="0" w:color="D9D9D9"/>
            </w:tcBorders>
            <w:shd w:val="clear" w:color="000000" w:fill="FFF6E0"/>
            <w:noWrap/>
            <w:vAlign w:val="center"/>
            <w:hideMark/>
          </w:tcPr>
          <w:p w14:paraId="1F3AE075"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22,927</w:t>
            </w:r>
          </w:p>
        </w:tc>
        <w:tc>
          <w:tcPr>
            <w:tcW w:w="1012" w:type="dxa"/>
            <w:tcBorders>
              <w:top w:val="nil"/>
              <w:left w:val="nil"/>
              <w:bottom w:val="single" w:sz="8" w:space="0" w:color="D9D9D9"/>
              <w:right w:val="single" w:sz="8" w:space="0" w:color="D9D9D9"/>
            </w:tcBorders>
            <w:shd w:val="clear" w:color="000000" w:fill="FFF6E0"/>
            <w:noWrap/>
            <w:vAlign w:val="center"/>
            <w:hideMark/>
          </w:tcPr>
          <w:p w14:paraId="30C1B575"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25,129</w:t>
            </w:r>
          </w:p>
        </w:tc>
        <w:tc>
          <w:tcPr>
            <w:tcW w:w="1013" w:type="dxa"/>
            <w:tcBorders>
              <w:top w:val="nil"/>
              <w:left w:val="nil"/>
              <w:bottom w:val="single" w:sz="8" w:space="0" w:color="D9D9D9"/>
              <w:right w:val="single" w:sz="8" w:space="0" w:color="D9D9D9"/>
            </w:tcBorders>
            <w:shd w:val="clear" w:color="000000" w:fill="FFF6E0"/>
            <w:noWrap/>
            <w:vAlign w:val="center"/>
            <w:hideMark/>
          </w:tcPr>
          <w:p w14:paraId="125B11E3"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26,661</w:t>
            </w:r>
          </w:p>
        </w:tc>
        <w:tc>
          <w:tcPr>
            <w:tcW w:w="1012" w:type="dxa"/>
            <w:tcBorders>
              <w:top w:val="nil"/>
              <w:left w:val="nil"/>
              <w:bottom w:val="single" w:sz="8" w:space="0" w:color="D9D9D9"/>
              <w:right w:val="single" w:sz="8" w:space="0" w:color="D9D9D9"/>
            </w:tcBorders>
            <w:shd w:val="clear" w:color="000000" w:fill="FFF6E0"/>
            <w:vAlign w:val="center"/>
            <w:hideMark/>
          </w:tcPr>
          <w:p w14:paraId="4AC9F6C6"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27,158</w:t>
            </w:r>
          </w:p>
        </w:tc>
        <w:tc>
          <w:tcPr>
            <w:tcW w:w="1013" w:type="dxa"/>
            <w:tcBorders>
              <w:top w:val="nil"/>
              <w:left w:val="nil"/>
              <w:bottom w:val="single" w:sz="8" w:space="0" w:color="D9D9D9"/>
              <w:right w:val="single" w:sz="8" w:space="0" w:color="D9D9D9"/>
            </w:tcBorders>
            <w:shd w:val="clear" w:color="000000" w:fill="FFF6E0"/>
            <w:vAlign w:val="center"/>
            <w:hideMark/>
          </w:tcPr>
          <w:p w14:paraId="410CE471"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27,185</w:t>
            </w:r>
          </w:p>
        </w:tc>
        <w:tc>
          <w:tcPr>
            <w:tcW w:w="1012" w:type="dxa"/>
            <w:tcBorders>
              <w:top w:val="nil"/>
              <w:left w:val="nil"/>
              <w:bottom w:val="single" w:sz="8" w:space="0" w:color="D9D9D9"/>
              <w:right w:val="single" w:sz="8" w:space="0" w:color="D9D9D9"/>
            </w:tcBorders>
            <w:shd w:val="clear" w:color="000000" w:fill="FFF6E0"/>
            <w:vAlign w:val="center"/>
            <w:hideMark/>
          </w:tcPr>
          <w:p w14:paraId="26A4AD14"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25,793</w:t>
            </w:r>
          </w:p>
        </w:tc>
        <w:tc>
          <w:tcPr>
            <w:tcW w:w="1013" w:type="dxa"/>
            <w:tcBorders>
              <w:top w:val="nil"/>
              <w:left w:val="nil"/>
              <w:bottom w:val="single" w:sz="8" w:space="0" w:color="D9D9D9"/>
              <w:right w:val="single" w:sz="8" w:space="0" w:color="D9D9D9"/>
            </w:tcBorders>
            <w:shd w:val="clear" w:color="000000" w:fill="FFF6E0"/>
            <w:vAlign w:val="center"/>
            <w:hideMark/>
          </w:tcPr>
          <w:p w14:paraId="16908C92" w14:textId="77777777" w:rsidR="00894471" w:rsidRPr="00387739" w:rsidRDefault="00894471" w:rsidP="008F3B5B">
            <w:pPr>
              <w:jc w:val="right"/>
              <w:rPr>
                <w:rFonts w:cs="Arial"/>
                <w:color w:val="000000"/>
                <w:sz w:val="20"/>
                <w:szCs w:val="20"/>
                <w:lang w:eastAsia="en-AU"/>
              </w:rPr>
            </w:pPr>
            <w:r w:rsidRPr="00387739">
              <w:rPr>
                <w:rFonts w:cs="Arial"/>
                <w:sz w:val="20"/>
                <w:szCs w:val="20"/>
                <w:lang w:eastAsia="en-AU"/>
              </w:rPr>
              <w:t>12.5%</w:t>
            </w:r>
          </w:p>
        </w:tc>
      </w:tr>
      <w:tr w:rsidR="00894471" w:rsidRPr="003E1EBA" w14:paraId="1011CBE6"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auto" w:fill="auto"/>
            <w:noWrap/>
            <w:vAlign w:val="center"/>
          </w:tcPr>
          <w:p w14:paraId="7A4617D9" w14:textId="77777777" w:rsidR="00894471" w:rsidRPr="00176080" w:rsidRDefault="00894471" w:rsidP="005267D3">
            <w:pPr>
              <w:rPr>
                <w:rFonts w:cs="Arial"/>
                <w:b/>
                <w:sz w:val="20"/>
                <w:szCs w:val="20"/>
                <w:lang w:eastAsia="en-AU"/>
              </w:rPr>
            </w:pPr>
            <w:r w:rsidRPr="00176080">
              <w:rPr>
                <w:rFonts w:cs="Arial"/>
                <w:b/>
                <w:sz w:val="20"/>
                <w:szCs w:val="20"/>
                <w:lang w:eastAsia="en-AU"/>
              </w:rPr>
              <w:t>Enrolment Shares</w:t>
            </w:r>
          </w:p>
        </w:tc>
        <w:tc>
          <w:tcPr>
            <w:tcW w:w="1012" w:type="dxa"/>
            <w:tcBorders>
              <w:top w:val="nil"/>
              <w:left w:val="nil"/>
              <w:bottom w:val="single" w:sz="8" w:space="0" w:color="D9D9D9"/>
              <w:right w:val="single" w:sz="8" w:space="0" w:color="D9D9D9"/>
            </w:tcBorders>
            <w:shd w:val="clear" w:color="auto" w:fill="auto"/>
            <w:noWrap/>
            <w:vAlign w:val="center"/>
          </w:tcPr>
          <w:p w14:paraId="6E0DD88A" w14:textId="21786AE1" w:rsidR="00894471" w:rsidRPr="00176080" w:rsidRDefault="00AC6E4F" w:rsidP="008F3B5B">
            <w:pPr>
              <w:jc w:val="right"/>
              <w:rPr>
                <w:rFonts w:cs="Arial"/>
                <w:b/>
                <w:sz w:val="20"/>
                <w:szCs w:val="20"/>
                <w:lang w:eastAsia="en-AU"/>
              </w:rPr>
            </w:pPr>
            <w:r w:rsidRPr="00176080">
              <w:rPr>
                <w:rFonts w:cs="Arial"/>
                <w:b/>
                <w:sz w:val="20"/>
                <w:szCs w:val="20"/>
                <w:lang w:eastAsia="en-AU"/>
              </w:rPr>
              <w:t>%</w:t>
            </w:r>
          </w:p>
        </w:tc>
        <w:tc>
          <w:tcPr>
            <w:tcW w:w="1012" w:type="dxa"/>
            <w:tcBorders>
              <w:top w:val="nil"/>
              <w:left w:val="nil"/>
              <w:bottom w:val="single" w:sz="8" w:space="0" w:color="D9D9D9"/>
              <w:right w:val="single" w:sz="8" w:space="0" w:color="D9D9D9"/>
            </w:tcBorders>
            <w:shd w:val="clear" w:color="auto" w:fill="auto"/>
            <w:noWrap/>
            <w:vAlign w:val="center"/>
          </w:tcPr>
          <w:p w14:paraId="243917F3" w14:textId="10B6A2F5" w:rsidR="00894471" w:rsidRPr="00176080" w:rsidRDefault="00AC6E4F" w:rsidP="008F3B5B">
            <w:pPr>
              <w:jc w:val="right"/>
              <w:rPr>
                <w:rFonts w:cs="Arial"/>
                <w:b/>
                <w:sz w:val="20"/>
                <w:szCs w:val="20"/>
                <w:lang w:eastAsia="en-AU"/>
              </w:rPr>
            </w:pPr>
            <w:r w:rsidRPr="00176080">
              <w:rPr>
                <w:rFonts w:cs="Arial"/>
                <w:b/>
                <w:sz w:val="20"/>
                <w:szCs w:val="20"/>
                <w:lang w:eastAsia="en-AU"/>
              </w:rPr>
              <w:t>%</w:t>
            </w:r>
          </w:p>
        </w:tc>
        <w:tc>
          <w:tcPr>
            <w:tcW w:w="1013" w:type="dxa"/>
            <w:tcBorders>
              <w:top w:val="nil"/>
              <w:left w:val="nil"/>
              <w:bottom w:val="single" w:sz="8" w:space="0" w:color="D9D9D9"/>
              <w:right w:val="single" w:sz="8" w:space="0" w:color="D9D9D9"/>
            </w:tcBorders>
            <w:shd w:val="clear" w:color="auto" w:fill="auto"/>
            <w:noWrap/>
            <w:vAlign w:val="center"/>
          </w:tcPr>
          <w:p w14:paraId="3D589BD2" w14:textId="34A1A426" w:rsidR="00894471" w:rsidRPr="00176080" w:rsidRDefault="00AC6E4F" w:rsidP="008F3B5B">
            <w:pPr>
              <w:jc w:val="right"/>
              <w:rPr>
                <w:rFonts w:cs="Arial"/>
                <w:b/>
                <w:sz w:val="20"/>
                <w:szCs w:val="20"/>
                <w:lang w:eastAsia="en-AU"/>
              </w:rPr>
            </w:pPr>
            <w:r w:rsidRPr="00176080">
              <w:rPr>
                <w:rFonts w:cs="Arial"/>
                <w:b/>
                <w:sz w:val="20"/>
                <w:szCs w:val="20"/>
                <w:lang w:eastAsia="en-AU"/>
              </w:rPr>
              <w:t>%</w:t>
            </w:r>
          </w:p>
        </w:tc>
        <w:tc>
          <w:tcPr>
            <w:tcW w:w="1012" w:type="dxa"/>
            <w:tcBorders>
              <w:top w:val="nil"/>
              <w:left w:val="nil"/>
              <w:bottom w:val="single" w:sz="8" w:space="0" w:color="D9D9D9"/>
              <w:right w:val="single" w:sz="8" w:space="0" w:color="D9D9D9"/>
            </w:tcBorders>
            <w:shd w:val="clear" w:color="auto" w:fill="auto"/>
            <w:vAlign w:val="center"/>
          </w:tcPr>
          <w:p w14:paraId="0B5E9944" w14:textId="687FA6BD" w:rsidR="00894471" w:rsidRPr="00176080" w:rsidRDefault="00AC6E4F" w:rsidP="008F3B5B">
            <w:pPr>
              <w:jc w:val="right"/>
              <w:rPr>
                <w:rFonts w:cs="Arial"/>
                <w:b/>
                <w:sz w:val="20"/>
                <w:szCs w:val="20"/>
                <w:lang w:eastAsia="en-AU"/>
              </w:rPr>
            </w:pPr>
            <w:r w:rsidRPr="00176080">
              <w:rPr>
                <w:rFonts w:cs="Arial"/>
                <w:b/>
                <w:sz w:val="20"/>
                <w:szCs w:val="20"/>
                <w:lang w:eastAsia="en-AU"/>
              </w:rPr>
              <w:t>%</w:t>
            </w:r>
          </w:p>
        </w:tc>
        <w:tc>
          <w:tcPr>
            <w:tcW w:w="1013" w:type="dxa"/>
            <w:tcBorders>
              <w:top w:val="nil"/>
              <w:left w:val="nil"/>
              <w:bottom w:val="single" w:sz="8" w:space="0" w:color="D9D9D9"/>
              <w:right w:val="single" w:sz="8" w:space="0" w:color="D9D9D9"/>
            </w:tcBorders>
            <w:shd w:val="clear" w:color="auto" w:fill="auto"/>
            <w:vAlign w:val="center"/>
          </w:tcPr>
          <w:p w14:paraId="472A6E3D" w14:textId="540433AE" w:rsidR="00894471" w:rsidRPr="00176080" w:rsidRDefault="00AC6E4F" w:rsidP="008F3B5B">
            <w:pPr>
              <w:jc w:val="right"/>
              <w:rPr>
                <w:rFonts w:cs="Arial"/>
                <w:b/>
                <w:sz w:val="20"/>
                <w:szCs w:val="20"/>
                <w:lang w:eastAsia="en-AU"/>
              </w:rPr>
            </w:pPr>
            <w:r w:rsidRPr="00176080">
              <w:rPr>
                <w:rFonts w:cs="Arial"/>
                <w:b/>
                <w:sz w:val="20"/>
                <w:szCs w:val="20"/>
                <w:lang w:eastAsia="en-AU"/>
              </w:rPr>
              <w:t>%</w:t>
            </w:r>
          </w:p>
        </w:tc>
        <w:tc>
          <w:tcPr>
            <w:tcW w:w="1012" w:type="dxa"/>
            <w:tcBorders>
              <w:top w:val="nil"/>
              <w:left w:val="nil"/>
              <w:bottom w:val="single" w:sz="8" w:space="0" w:color="D9D9D9"/>
              <w:right w:val="single" w:sz="8" w:space="0" w:color="D9D9D9"/>
            </w:tcBorders>
            <w:shd w:val="clear" w:color="auto" w:fill="auto"/>
            <w:vAlign w:val="center"/>
          </w:tcPr>
          <w:p w14:paraId="41D3FE44" w14:textId="3B42DE9D" w:rsidR="00894471" w:rsidRPr="00176080" w:rsidRDefault="00AC6E4F" w:rsidP="008F3B5B">
            <w:pPr>
              <w:jc w:val="right"/>
              <w:rPr>
                <w:rFonts w:cs="Arial"/>
                <w:b/>
                <w:sz w:val="20"/>
                <w:szCs w:val="20"/>
                <w:lang w:eastAsia="en-AU"/>
              </w:rPr>
            </w:pPr>
            <w:r w:rsidRPr="00176080">
              <w:rPr>
                <w:rFonts w:cs="Arial"/>
                <w:b/>
                <w:sz w:val="20"/>
                <w:szCs w:val="20"/>
                <w:lang w:eastAsia="en-AU"/>
              </w:rPr>
              <w:t>%</w:t>
            </w:r>
          </w:p>
        </w:tc>
        <w:tc>
          <w:tcPr>
            <w:tcW w:w="1013" w:type="dxa"/>
            <w:tcBorders>
              <w:top w:val="nil"/>
              <w:left w:val="nil"/>
              <w:bottom w:val="single" w:sz="8" w:space="0" w:color="D9D9D9"/>
              <w:right w:val="single" w:sz="8" w:space="0" w:color="D9D9D9"/>
            </w:tcBorders>
            <w:shd w:val="clear" w:color="auto" w:fill="auto"/>
            <w:vAlign w:val="center"/>
          </w:tcPr>
          <w:p w14:paraId="7CCE43F3" w14:textId="77777777" w:rsidR="00894471" w:rsidRPr="00176080" w:rsidRDefault="00894471" w:rsidP="008F3B5B">
            <w:pPr>
              <w:jc w:val="right"/>
              <w:rPr>
                <w:rFonts w:cs="Arial"/>
                <w:b/>
                <w:sz w:val="20"/>
                <w:szCs w:val="20"/>
                <w:lang w:eastAsia="en-AU"/>
              </w:rPr>
            </w:pPr>
            <w:r w:rsidRPr="00176080">
              <w:rPr>
                <w:rFonts w:cs="Arial"/>
                <w:b/>
                <w:sz w:val="20"/>
                <w:szCs w:val="20"/>
                <w:lang w:eastAsia="en-AU"/>
              </w:rPr>
              <w:t>PPC</w:t>
            </w:r>
            <w:r w:rsidRPr="00176080">
              <w:rPr>
                <w:rFonts w:cs="Arial"/>
                <w:b/>
                <w:sz w:val="20"/>
                <w:szCs w:val="20"/>
                <w:vertAlign w:val="superscript"/>
                <w:lang w:eastAsia="en-AU"/>
              </w:rPr>
              <w:t>1</w:t>
            </w:r>
          </w:p>
        </w:tc>
      </w:tr>
      <w:tr w:rsidR="00894471" w:rsidRPr="003E1EBA" w14:paraId="0D91F79E"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15C7EB88"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Low SES</w:t>
            </w:r>
          </w:p>
        </w:tc>
        <w:tc>
          <w:tcPr>
            <w:tcW w:w="1012" w:type="dxa"/>
            <w:tcBorders>
              <w:top w:val="nil"/>
              <w:left w:val="nil"/>
              <w:bottom w:val="single" w:sz="8" w:space="0" w:color="D9D9D9"/>
              <w:right w:val="single" w:sz="8" w:space="0" w:color="D9D9D9"/>
            </w:tcBorders>
            <w:shd w:val="clear" w:color="000000" w:fill="FFF6E0"/>
            <w:noWrap/>
            <w:vAlign w:val="center"/>
            <w:hideMark/>
          </w:tcPr>
          <w:p w14:paraId="31A383FE" w14:textId="1AB3E107" w:rsidR="00894471" w:rsidRPr="00387739" w:rsidRDefault="00894471" w:rsidP="008F3B5B">
            <w:pPr>
              <w:jc w:val="right"/>
              <w:rPr>
                <w:rFonts w:cs="Arial"/>
                <w:sz w:val="20"/>
                <w:szCs w:val="20"/>
                <w:lang w:eastAsia="en-AU"/>
              </w:rPr>
            </w:pPr>
            <w:r w:rsidRPr="00387739">
              <w:rPr>
                <w:rFonts w:cs="Arial"/>
                <w:sz w:val="20"/>
                <w:szCs w:val="20"/>
                <w:lang w:eastAsia="en-AU"/>
              </w:rPr>
              <w:t>15.8</w:t>
            </w:r>
          </w:p>
        </w:tc>
        <w:tc>
          <w:tcPr>
            <w:tcW w:w="1012" w:type="dxa"/>
            <w:tcBorders>
              <w:top w:val="nil"/>
              <w:left w:val="nil"/>
              <w:bottom w:val="single" w:sz="8" w:space="0" w:color="D9D9D9"/>
              <w:right w:val="single" w:sz="8" w:space="0" w:color="D9D9D9"/>
            </w:tcBorders>
            <w:shd w:val="clear" w:color="000000" w:fill="FFF6E0"/>
            <w:noWrap/>
            <w:vAlign w:val="center"/>
            <w:hideMark/>
          </w:tcPr>
          <w:p w14:paraId="690B7AF7" w14:textId="01CC82DE" w:rsidR="00894471" w:rsidRPr="00387739" w:rsidRDefault="00894471" w:rsidP="008F3B5B">
            <w:pPr>
              <w:jc w:val="right"/>
              <w:rPr>
                <w:rFonts w:cs="Arial"/>
                <w:sz w:val="20"/>
                <w:szCs w:val="20"/>
                <w:lang w:eastAsia="en-AU"/>
              </w:rPr>
            </w:pPr>
            <w:r w:rsidRPr="00387739">
              <w:rPr>
                <w:rFonts w:cs="Arial"/>
                <w:sz w:val="20"/>
                <w:szCs w:val="20"/>
                <w:lang w:eastAsia="en-AU"/>
              </w:rPr>
              <w:t>15.7</w:t>
            </w:r>
          </w:p>
        </w:tc>
        <w:tc>
          <w:tcPr>
            <w:tcW w:w="1013" w:type="dxa"/>
            <w:tcBorders>
              <w:top w:val="nil"/>
              <w:left w:val="nil"/>
              <w:bottom w:val="single" w:sz="8" w:space="0" w:color="D9D9D9"/>
              <w:right w:val="single" w:sz="8" w:space="0" w:color="D9D9D9"/>
            </w:tcBorders>
            <w:shd w:val="clear" w:color="000000" w:fill="FFF6E0"/>
            <w:noWrap/>
            <w:vAlign w:val="center"/>
            <w:hideMark/>
          </w:tcPr>
          <w:p w14:paraId="787951CF" w14:textId="1DC53067" w:rsidR="00894471" w:rsidRPr="00387739" w:rsidRDefault="00894471" w:rsidP="008F3B5B">
            <w:pPr>
              <w:jc w:val="right"/>
              <w:rPr>
                <w:rFonts w:cs="Arial"/>
                <w:sz w:val="20"/>
                <w:szCs w:val="20"/>
                <w:lang w:eastAsia="en-AU"/>
              </w:rPr>
            </w:pPr>
            <w:r w:rsidRPr="00387739">
              <w:rPr>
                <w:rFonts w:cs="Arial"/>
                <w:sz w:val="20"/>
                <w:szCs w:val="20"/>
                <w:lang w:eastAsia="en-AU"/>
              </w:rPr>
              <w:t>15.9</w:t>
            </w:r>
          </w:p>
        </w:tc>
        <w:tc>
          <w:tcPr>
            <w:tcW w:w="1012" w:type="dxa"/>
            <w:tcBorders>
              <w:top w:val="nil"/>
              <w:left w:val="nil"/>
              <w:bottom w:val="single" w:sz="8" w:space="0" w:color="D9D9D9"/>
              <w:right w:val="single" w:sz="8" w:space="0" w:color="D9D9D9"/>
            </w:tcBorders>
            <w:shd w:val="clear" w:color="000000" w:fill="FFF6E0"/>
            <w:vAlign w:val="center"/>
            <w:hideMark/>
          </w:tcPr>
          <w:p w14:paraId="61446A9B" w14:textId="30DEAA46" w:rsidR="00894471" w:rsidRPr="00387739" w:rsidRDefault="00894471" w:rsidP="008F3B5B">
            <w:pPr>
              <w:jc w:val="right"/>
              <w:rPr>
                <w:rFonts w:cs="Arial"/>
                <w:sz w:val="20"/>
                <w:szCs w:val="20"/>
                <w:lang w:eastAsia="en-AU"/>
              </w:rPr>
            </w:pPr>
            <w:r w:rsidRPr="00387739">
              <w:rPr>
                <w:rFonts w:cs="Arial"/>
                <w:sz w:val="20"/>
                <w:szCs w:val="20"/>
                <w:lang w:eastAsia="en-AU"/>
              </w:rPr>
              <w:t>17.0</w:t>
            </w:r>
          </w:p>
        </w:tc>
        <w:tc>
          <w:tcPr>
            <w:tcW w:w="1013" w:type="dxa"/>
            <w:tcBorders>
              <w:top w:val="nil"/>
              <w:left w:val="nil"/>
              <w:bottom w:val="single" w:sz="8" w:space="0" w:color="D9D9D9"/>
              <w:right w:val="single" w:sz="8" w:space="0" w:color="D9D9D9"/>
            </w:tcBorders>
            <w:shd w:val="clear" w:color="000000" w:fill="FFF6E0"/>
            <w:vAlign w:val="center"/>
            <w:hideMark/>
          </w:tcPr>
          <w:p w14:paraId="18BAB89E" w14:textId="69371B84" w:rsidR="00894471" w:rsidRPr="00387739" w:rsidRDefault="00894471" w:rsidP="008F3B5B">
            <w:pPr>
              <w:jc w:val="right"/>
              <w:rPr>
                <w:rFonts w:cs="Arial"/>
                <w:sz w:val="20"/>
                <w:szCs w:val="20"/>
                <w:lang w:eastAsia="en-AU"/>
              </w:rPr>
            </w:pPr>
            <w:r w:rsidRPr="00387739">
              <w:rPr>
                <w:rFonts w:cs="Arial"/>
                <w:sz w:val="20"/>
                <w:szCs w:val="20"/>
                <w:lang w:eastAsia="en-AU"/>
              </w:rPr>
              <w:t>17.1</w:t>
            </w:r>
          </w:p>
        </w:tc>
        <w:tc>
          <w:tcPr>
            <w:tcW w:w="1012" w:type="dxa"/>
            <w:tcBorders>
              <w:top w:val="nil"/>
              <w:left w:val="nil"/>
              <w:bottom w:val="single" w:sz="8" w:space="0" w:color="D9D9D9"/>
              <w:right w:val="single" w:sz="8" w:space="0" w:color="D9D9D9"/>
            </w:tcBorders>
            <w:shd w:val="clear" w:color="000000" w:fill="FFF6E0"/>
            <w:vAlign w:val="center"/>
            <w:hideMark/>
          </w:tcPr>
          <w:p w14:paraId="4E4945FC" w14:textId="022779DD" w:rsidR="00894471" w:rsidRPr="00387739" w:rsidRDefault="00894471" w:rsidP="008F3B5B">
            <w:pPr>
              <w:jc w:val="right"/>
              <w:rPr>
                <w:rFonts w:cs="Arial"/>
                <w:sz w:val="20"/>
                <w:szCs w:val="20"/>
                <w:lang w:eastAsia="en-AU"/>
              </w:rPr>
            </w:pPr>
            <w:r w:rsidRPr="00387739">
              <w:rPr>
                <w:rFonts w:cs="Arial"/>
                <w:sz w:val="20"/>
                <w:szCs w:val="20"/>
                <w:lang w:eastAsia="en-AU"/>
              </w:rPr>
              <w:t>17.0</w:t>
            </w:r>
          </w:p>
        </w:tc>
        <w:tc>
          <w:tcPr>
            <w:tcW w:w="1013" w:type="dxa"/>
            <w:tcBorders>
              <w:top w:val="nil"/>
              <w:left w:val="nil"/>
              <w:bottom w:val="single" w:sz="8" w:space="0" w:color="D9D9D9"/>
              <w:right w:val="single" w:sz="8" w:space="0" w:color="D9D9D9"/>
            </w:tcBorders>
            <w:shd w:val="clear" w:color="000000" w:fill="FFF6E0"/>
            <w:vAlign w:val="center"/>
            <w:hideMark/>
          </w:tcPr>
          <w:p w14:paraId="6C0EC46A" w14:textId="77777777" w:rsidR="00894471" w:rsidRPr="00387739" w:rsidRDefault="00894471" w:rsidP="008F3B5B">
            <w:pPr>
              <w:jc w:val="right"/>
              <w:rPr>
                <w:rFonts w:cs="Arial"/>
                <w:sz w:val="20"/>
                <w:szCs w:val="20"/>
                <w:lang w:eastAsia="en-AU"/>
              </w:rPr>
            </w:pPr>
            <w:r w:rsidRPr="00387739">
              <w:rPr>
                <w:rFonts w:cs="Arial"/>
                <w:sz w:val="20"/>
                <w:szCs w:val="20"/>
                <w:lang w:eastAsia="en-AU"/>
              </w:rPr>
              <w:t>1.2</w:t>
            </w:r>
          </w:p>
        </w:tc>
      </w:tr>
      <w:tr w:rsidR="00894471" w:rsidRPr="003E1EBA" w14:paraId="64869C36"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33D52B76"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Students with Disability</w:t>
            </w:r>
          </w:p>
        </w:tc>
        <w:tc>
          <w:tcPr>
            <w:tcW w:w="1012" w:type="dxa"/>
            <w:tcBorders>
              <w:top w:val="nil"/>
              <w:left w:val="nil"/>
              <w:bottom w:val="single" w:sz="8" w:space="0" w:color="D9D9D9"/>
              <w:right w:val="single" w:sz="8" w:space="0" w:color="D9D9D9"/>
            </w:tcBorders>
            <w:shd w:val="clear" w:color="000000" w:fill="FFFFFF"/>
            <w:noWrap/>
            <w:vAlign w:val="center"/>
            <w:hideMark/>
          </w:tcPr>
          <w:p w14:paraId="13F11726" w14:textId="3F7ABDC5" w:rsidR="00894471" w:rsidRPr="00387739" w:rsidRDefault="00894471" w:rsidP="008F3B5B">
            <w:pPr>
              <w:jc w:val="right"/>
              <w:rPr>
                <w:rFonts w:cs="Arial"/>
                <w:sz w:val="20"/>
                <w:szCs w:val="20"/>
                <w:lang w:eastAsia="en-AU"/>
              </w:rPr>
            </w:pPr>
            <w:r w:rsidRPr="00387739">
              <w:rPr>
                <w:rFonts w:cs="Arial"/>
                <w:sz w:val="20"/>
                <w:szCs w:val="20"/>
                <w:lang w:eastAsia="en-AU"/>
              </w:rPr>
              <w:t>5.5</w:t>
            </w:r>
          </w:p>
        </w:tc>
        <w:tc>
          <w:tcPr>
            <w:tcW w:w="1012" w:type="dxa"/>
            <w:tcBorders>
              <w:top w:val="nil"/>
              <w:left w:val="nil"/>
              <w:bottom w:val="single" w:sz="8" w:space="0" w:color="D9D9D9"/>
              <w:right w:val="single" w:sz="8" w:space="0" w:color="D9D9D9"/>
            </w:tcBorders>
            <w:shd w:val="clear" w:color="000000" w:fill="FFFFFF"/>
            <w:noWrap/>
            <w:vAlign w:val="center"/>
            <w:hideMark/>
          </w:tcPr>
          <w:p w14:paraId="2311D902" w14:textId="62CF0808" w:rsidR="00894471" w:rsidRPr="00387739" w:rsidRDefault="00894471" w:rsidP="008F3B5B">
            <w:pPr>
              <w:jc w:val="right"/>
              <w:rPr>
                <w:rFonts w:cs="Arial"/>
                <w:sz w:val="20"/>
                <w:szCs w:val="20"/>
                <w:lang w:eastAsia="en-AU"/>
              </w:rPr>
            </w:pPr>
            <w:r w:rsidRPr="00387739">
              <w:rPr>
                <w:rFonts w:cs="Arial"/>
                <w:sz w:val="20"/>
                <w:szCs w:val="20"/>
                <w:lang w:eastAsia="en-AU"/>
              </w:rPr>
              <w:t>5.8</w:t>
            </w:r>
          </w:p>
        </w:tc>
        <w:tc>
          <w:tcPr>
            <w:tcW w:w="1013" w:type="dxa"/>
            <w:tcBorders>
              <w:top w:val="nil"/>
              <w:left w:val="nil"/>
              <w:bottom w:val="single" w:sz="8" w:space="0" w:color="D9D9D9"/>
              <w:right w:val="single" w:sz="8" w:space="0" w:color="D9D9D9"/>
            </w:tcBorders>
            <w:shd w:val="clear" w:color="000000" w:fill="FFFFFF"/>
            <w:noWrap/>
            <w:vAlign w:val="center"/>
            <w:hideMark/>
          </w:tcPr>
          <w:p w14:paraId="7EBEF126" w14:textId="3B74071A" w:rsidR="00894471" w:rsidRPr="00387739" w:rsidRDefault="00894471" w:rsidP="008F3B5B">
            <w:pPr>
              <w:jc w:val="right"/>
              <w:rPr>
                <w:rFonts w:cs="Arial"/>
                <w:sz w:val="20"/>
                <w:szCs w:val="20"/>
                <w:lang w:eastAsia="en-AU"/>
              </w:rPr>
            </w:pPr>
            <w:r w:rsidRPr="00387739">
              <w:rPr>
                <w:rFonts w:cs="Arial"/>
                <w:sz w:val="20"/>
                <w:szCs w:val="20"/>
                <w:lang w:eastAsia="en-AU"/>
              </w:rPr>
              <w:t>6.2</w:t>
            </w:r>
          </w:p>
        </w:tc>
        <w:tc>
          <w:tcPr>
            <w:tcW w:w="1012" w:type="dxa"/>
            <w:tcBorders>
              <w:top w:val="nil"/>
              <w:left w:val="nil"/>
              <w:bottom w:val="single" w:sz="8" w:space="0" w:color="D9D9D9"/>
              <w:right w:val="single" w:sz="8" w:space="0" w:color="D9D9D9"/>
            </w:tcBorders>
            <w:shd w:val="clear" w:color="000000" w:fill="FFFFFF"/>
            <w:vAlign w:val="center"/>
            <w:hideMark/>
          </w:tcPr>
          <w:p w14:paraId="7E362D52" w14:textId="6D41555F" w:rsidR="00894471" w:rsidRPr="00387739" w:rsidRDefault="00894471" w:rsidP="008F3B5B">
            <w:pPr>
              <w:jc w:val="right"/>
              <w:rPr>
                <w:rFonts w:cs="Arial"/>
                <w:sz w:val="20"/>
                <w:szCs w:val="20"/>
                <w:lang w:eastAsia="en-AU"/>
              </w:rPr>
            </w:pPr>
            <w:r w:rsidRPr="00387739">
              <w:rPr>
                <w:rFonts w:cs="Arial"/>
                <w:sz w:val="20"/>
                <w:szCs w:val="20"/>
                <w:lang w:eastAsia="en-AU"/>
              </w:rPr>
              <w:t>6.5</w:t>
            </w:r>
          </w:p>
        </w:tc>
        <w:tc>
          <w:tcPr>
            <w:tcW w:w="1013" w:type="dxa"/>
            <w:tcBorders>
              <w:top w:val="nil"/>
              <w:left w:val="nil"/>
              <w:bottom w:val="single" w:sz="8" w:space="0" w:color="D9D9D9"/>
              <w:right w:val="single" w:sz="8" w:space="0" w:color="D9D9D9"/>
            </w:tcBorders>
            <w:shd w:val="clear" w:color="000000" w:fill="FFFFFF"/>
            <w:vAlign w:val="center"/>
            <w:hideMark/>
          </w:tcPr>
          <w:p w14:paraId="7F759FFE" w14:textId="7E75110C" w:rsidR="00894471" w:rsidRPr="00387739" w:rsidRDefault="00894471" w:rsidP="008F3B5B">
            <w:pPr>
              <w:jc w:val="right"/>
              <w:rPr>
                <w:rFonts w:cs="Arial"/>
                <w:sz w:val="20"/>
                <w:szCs w:val="20"/>
                <w:lang w:eastAsia="en-AU"/>
              </w:rPr>
            </w:pPr>
            <w:r w:rsidRPr="00387739">
              <w:rPr>
                <w:rFonts w:cs="Arial"/>
                <w:sz w:val="20"/>
                <w:szCs w:val="20"/>
                <w:lang w:eastAsia="en-AU"/>
              </w:rPr>
              <w:t>6.8</w:t>
            </w:r>
          </w:p>
        </w:tc>
        <w:tc>
          <w:tcPr>
            <w:tcW w:w="1012" w:type="dxa"/>
            <w:tcBorders>
              <w:top w:val="nil"/>
              <w:left w:val="nil"/>
              <w:bottom w:val="single" w:sz="8" w:space="0" w:color="D9D9D9"/>
              <w:right w:val="single" w:sz="8" w:space="0" w:color="D9D9D9"/>
            </w:tcBorders>
            <w:shd w:val="clear" w:color="000000" w:fill="FFFFFF"/>
            <w:vAlign w:val="center"/>
            <w:hideMark/>
          </w:tcPr>
          <w:p w14:paraId="5E87C131" w14:textId="6C1BFD28" w:rsidR="00894471" w:rsidRPr="00387739" w:rsidRDefault="00894471" w:rsidP="008F3B5B">
            <w:pPr>
              <w:jc w:val="right"/>
              <w:rPr>
                <w:rFonts w:cs="Arial"/>
                <w:sz w:val="20"/>
                <w:szCs w:val="20"/>
                <w:lang w:eastAsia="en-AU"/>
              </w:rPr>
            </w:pPr>
            <w:r w:rsidRPr="00387739">
              <w:rPr>
                <w:rFonts w:cs="Arial"/>
                <w:sz w:val="20"/>
                <w:szCs w:val="20"/>
                <w:lang w:eastAsia="en-AU"/>
              </w:rPr>
              <w:t>7.3</w:t>
            </w:r>
          </w:p>
        </w:tc>
        <w:tc>
          <w:tcPr>
            <w:tcW w:w="1013" w:type="dxa"/>
            <w:tcBorders>
              <w:top w:val="nil"/>
              <w:left w:val="nil"/>
              <w:bottom w:val="single" w:sz="8" w:space="0" w:color="D9D9D9"/>
              <w:right w:val="single" w:sz="8" w:space="0" w:color="D9D9D9"/>
            </w:tcBorders>
            <w:shd w:val="clear" w:color="000000" w:fill="FFFFFF"/>
            <w:vAlign w:val="center"/>
            <w:hideMark/>
          </w:tcPr>
          <w:p w14:paraId="190B60A0" w14:textId="77777777" w:rsidR="00894471" w:rsidRPr="00387739" w:rsidRDefault="00894471" w:rsidP="008F3B5B">
            <w:pPr>
              <w:jc w:val="right"/>
              <w:rPr>
                <w:rFonts w:cs="Arial"/>
                <w:sz w:val="20"/>
                <w:szCs w:val="20"/>
                <w:lang w:eastAsia="en-AU"/>
              </w:rPr>
            </w:pPr>
            <w:r w:rsidRPr="00387739">
              <w:rPr>
                <w:rFonts w:cs="Arial"/>
                <w:sz w:val="20"/>
                <w:szCs w:val="20"/>
                <w:lang w:eastAsia="en-AU"/>
              </w:rPr>
              <w:t>1.8</w:t>
            </w:r>
          </w:p>
        </w:tc>
      </w:tr>
      <w:tr w:rsidR="00894471" w:rsidRPr="003E1EBA" w14:paraId="0B6FA994"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1B23A567"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Indigenous</w:t>
            </w:r>
          </w:p>
        </w:tc>
        <w:tc>
          <w:tcPr>
            <w:tcW w:w="1012" w:type="dxa"/>
            <w:tcBorders>
              <w:top w:val="nil"/>
              <w:left w:val="nil"/>
              <w:bottom w:val="single" w:sz="8" w:space="0" w:color="D9D9D9"/>
              <w:right w:val="single" w:sz="8" w:space="0" w:color="D9D9D9"/>
            </w:tcBorders>
            <w:shd w:val="clear" w:color="000000" w:fill="FFF6E0"/>
            <w:noWrap/>
            <w:vAlign w:val="center"/>
            <w:hideMark/>
          </w:tcPr>
          <w:p w14:paraId="418D1578" w14:textId="08CBD4DB" w:rsidR="00894471" w:rsidRPr="00387739" w:rsidRDefault="00894471" w:rsidP="008F3B5B">
            <w:pPr>
              <w:jc w:val="right"/>
              <w:rPr>
                <w:rFonts w:cs="Arial"/>
                <w:sz w:val="20"/>
                <w:szCs w:val="20"/>
                <w:lang w:eastAsia="en-AU"/>
              </w:rPr>
            </w:pPr>
            <w:r w:rsidRPr="00387739">
              <w:rPr>
                <w:rFonts w:cs="Arial"/>
                <w:sz w:val="20"/>
                <w:szCs w:val="20"/>
                <w:lang w:eastAsia="en-AU"/>
              </w:rPr>
              <w:t>1.5</w:t>
            </w:r>
          </w:p>
        </w:tc>
        <w:tc>
          <w:tcPr>
            <w:tcW w:w="1012" w:type="dxa"/>
            <w:tcBorders>
              <w:top w:val="nil"/>
              <w:left w:val="nil"/>
              <w:bottom w:val="single" w:sz="8" w:space="0" w:color="D9D9D9"/>
              <w:right w:val="single" w:sz="8" w:space="0" w:color="D9D9D9"/>
            </w:tcBorders>
            <w:shd w:val="clear" w:color="000000" w:fill="FFF6E0"/>
            <w:noWrap/>
            <w:vAlign w:val="center"/>
            <w:hideMark/>
          </w:tcPr>
          <w:p w14:paraId="5C7D6725" w14:textId="0EB189A3" w:rsidR="00894471" w:rsidRPr="00387739" w:rsidRDefault="00894471" w:rsidP="008F3B5B">
            <w:pPr>
              <w:jc w:val="right"/>
              <w:rPr>
                <w:rFonts w:cs="Arial"/>
                <w:sz w:val="20"/>
                <w:szCs w:val="20"/>
                <w:lang w:eastAsia="en-AU"/>
              </w:rPr>
            </w:pPr>
            <w:r w:rsidRPr="00387739">
              <w:rPr>
                <w:rFonts w:cs="Arial"/>
                <w:sz w:val="20"/>
                <w:szCs w:val="20"/>
                <w:lang w:eastAsia="en-AU"/>
              </w:rPr>
              <w:t>1.5</w:t>
            </w:r>
          </w:p>
        </w:tc>
        <w:tc>
          <w:tcPr>
            <w:tcW w:w="1013" w:type="dxa"/>
            <w:tcBorders>
              <w:top w:val="nil"/>
              <w:left w:val="nil"/>
              <w:bottom w:val="single" w:sz="8" w:space="0" w:color="D9D9D9"/>
              <w:right w:val="single" w:sz="8" w:space="0" w:color="D9D9D9"/>
            </w:tcBorders>
            <w:shd w:val="clear" w:color="000000" w:fill="FFF6E0"/>
            <w:noWrap/>
            <w:vAlign w:val="center"/>
            <w:hideMark/>
          </w:tcPr>
          <w:p w14:paraId="51EAEC61" w14:textId="4BF9EEE8" w:rsidR="00894471" w:rsidRPr="00387739" w:rsidRDefault="00894471" w:rsidP="008F3B5B">
            <w:pPr>
              <w:jc w:val="right"/>
              <w:rPr>
                <w:rFonts w:cs="Arial"/>
                <w:sz w:val="20"/>
                <w:szCs w:val="20"/>
                <w:lang w:eastAsia="en-AU"/>
              </w:rPr>
            </w:pPr>
            <w:r w:rsidRPr="00387739">
              <w:rPr>
                <w:rFonts w:cs="Arial"/>
                <w:sz w:val="20"/>
                <w:szCs w:val="20"/>
                <w:lang w:eastAsia="en-AU"/>
              </w:rPr>
              <w:t>1.6</w:t>
            </w:r>
          </w:p>
        </w:tc>
        <w:tc>
          <w:tcPr>
            <w:tcW w:w="1012" w:type="dxa"/>
            <w:tcBorders>
              <w:top w:val="nil"/>
              <w:left w:val="nil"/>
              <w:bottom w:val="single" w:sz="8" w:space="0" w:color="D9D9D9"/>
              <w:right w:val="single" w:sz="8" w:space="0" w:color="D9D9D9"/>
            </w:tcBorders>
            <w:shd w:val="clear" w:color="000000" w:fill="FFF6E0"/>
            <w:vAlign w:val="center"/>
            <w:hideMark/>
          </w:tcPr>
          <w:p w14:paraId="3C7B1B55" w14:textId="4E4F1911" w:rsidR="00894471" w:rsidRPr="00387739" w:rsidRDefault="00894471" w:rsidP="008F3B5B">
            <w:pPr>
              <w:jc w:val="right"/>
              <w:rPr>
                <w:rFonts w:cs="Arial"/>
                <w:sz w:val="20"/>
                <w:szCs w:val="20"/>
                <w:lang w:eastAsia="en-AU"/>
              </w:rPr>
            </w:pPr>
            <w:r w:rsidRPr="00387739">
              <w:rPr>
                <w:rFonts w:cs="Arial"/>
                <w:sz w:val="20"/>
                <w:szCs w:val="20"/>
                <w:lang w:eastAsia="en-AU"/>
              </w:rPr>
              <w:t>1.7</w:t>
            </w:r>
          </w:p>
        </w:tc>
        <w:tc>
          <w:tcPr>
            <w:tcW w:w="1013" w:type="dxa"/>
            <w:tcBorders>
              <w:top w:val="nil"/>
              <w:left w:val="nil"/>
              <w:bottom w:val="single" w:sz="8" w:space="0" w:color="D9D9D9"/>
              <w:right w:val="single" w:sz="8" w:space="0" w:color="D9D9D9"/>
            </w:tcBorders>
            <w:shd w:val="clear" w:color="000000" w:fill="FFF6E0"/>
            <w:vAlign w:val="center"/>
            <w:hideMark/>
          </w:tcPr>
          <w:p w14:paraId="59D45A67" w14:textId="4B817266" w:rsidR="00894471" w:rsidRPr="00387739" w:rsidRDefault="00894471" w:rsidP="008F3B5B">
            <w:pPr>
              <w:jc w:val="right"/>
              <w:rPr>
                <w:rFonts w:cs="Arial"/>
                <w:sz w:val="20"/>
                <w:szCs w:val="20"/>
                <w:lang w:eastAsia="en-AU"/>
              </w:rPr>
            </w:pPr>
            <w:r w:rsidRPr="00387739">
              <w:rPr>
                <w:rFonts w:cs="Arial"/>
                <w:sz w:val="20"/>
                <w:szCs w:val="20"/>
                <w:lang w:eastAsia="en-AU"/>
              </w:rPr>
              <w:t>1.8</w:t>
            </w:r>
          </w:p>
        </w:tc>
        <w:tc>
          <w:tcPr>
            <w:tcW w:w="1012" w:type="dxa"/>
            <w:tcBorders>
              <w:top w:val="nil"/>
              <w:left w:val="nil"/>
              <w:bottom w:val="single" w:sz="8" w:space="0" w:color="D9D9D9"/>
              <w:right w:val="single" w:sz="8" w:space="0" w:color="D9D9D9"/>
            </w:tcBorders>
            <w:shd w:val="clear" w:color="000000" w:fill="FFF6E0"/>
            <w:vAlign w:val="center"/>
            <w:hideMark/>
          </w:tcPr>
          <w:p w14:paraId="429D090B" w14:textId="400E88FF" w:rsidR="00894471" w:rsidRPr="00387739" w:rsidRDefault="00894471" w:rsidP="008F3B5B">
            <w:pPr>
              <w:jc w:val="right"/>
              <w:rPr>
                <w:rFonts w:cs="Arial"/>
                <w:sz w:val="20"/>
                <w:szCs w:val="20"/>
                <w:lang w:eastAsia="en-AU"/>
              </w:rPr>
            </w:pPr>
            <w:r w:rsidRPr="00387739">
              <w:rPr>
                <w:rFonts w:cs="Arial"/>
                <w:sz w:val="20"/>
                <w:szCs w:val="20"/>
                <w:lang w:eastAsia="en-AU"/>
              </w:rPr>
              <w:t>1.9</w:t>
            </w:r>
          </w:p>
        </w:tc>
        <w:tc>
          <w:tcPr>
            <w:tcW w:w="1013" w:type="dxa"/>
            <w:tcBorders>
              <w:top w:val="nil"/>
              <w:left w:val="nil"/>
              <w:bottom w:val="single" w:sz="8" w:space="0" w:color="D9D9D9"/>
              <w:right w:val="single" w:sz="8" w:space="0" w:color="D9D9D9"/>
            </w:tcBorders>
            <w:shd w:val="clear" w:color="000000" w:fill="FFF6E0"/>
            <w:vAlign w:val="center"/>
            <w:hideMark/>
          </w:tcPr>
          <w:p w14:paraId="1D70CCDB" w14:textId="77777777" w:rsidR="00894471" w:rsidRPr="00387739" w:rsidRDefault="00894471" w:rsidP="008F3B5B">
            <w:pPr>
              <w:jc w:val="right"/>
              <w:rPr>
                <w:rFonts w:cs="Arial"/>
                <w:sz w:val="20"/>
                <w:szCs w:val="20"/>
                <w:lang w:eastAsia="en-AU"/>
              </w:rPr>
            </w:pPr>
            <w:r w:rsidRPr="00387739">
              <w:rPr>
                <w:rFonts w:cs="Arial"/>
                <w:sz w:val="20"/>
                <w:szCs w:val="20"/>
                <w:lang w:eastAsia="en-AU"/>
              </w:rPr>
              <w:t>0.4</w:t>
            </w:r>
          </w:p>
        </w:tc>
      </w:tr>
      <w:tr w:rsidR="00894471" w:rsidRPr="003E1EBA" w14:paraId="36415C45"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55C95932"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WINTA</w:t>
            </w:r>
          </w:p>
        </w:tc>
        <w:tc>
          <w:tcPr>
            <w:tcW w:w="1012" w:type="dxa"/>
            <w:tcBorders>
              <w:top w:val="nil"/>
              <w:left w:val="nil"/>
              <w:bottom w:val="single" w:sz="8" w:space="0" w:color="D9D9D9"/>
              <w:right w:val="single" w:sz="8" w:space="0" w:color="D9D9D9"/>
            </w:tcBorders>
            <w:shd w:val="clear" w:color="000000" w:fill="FFFFFF"/>
            <w:noWrap/>
            <w:vAlign w:val="center"/>
            <w:hideMark/>
          </w:tcPr>
          <w:p w14:paraId="286FC97A" w14:textId="08AA8598" w:rsidR="00894471" w:rsidRPr="00387739" w:rsidRDefault="00894471" w:rsidP="008F3B5B">
            <w:pPr>
              <w:jc w:val="right"/>
              <w:rPr>
                <w:rFonts w:cs="Arial"/>
                <w:sz w:val="20"/>
                <w:szCs w:val="20"/>
                <w:lang w:eastAsia="en-AU"/>
              </w:rPr>
            </w:pPr>
            <w:r w:rsidRPr="00387739">
              <w:rPr>
                <w:rFonts w:cs="Arial"/>
                <w:sz w:val="20"/>
                <w:szCs w:val="20"/>
                <w:lang w:eastAsia="en-AU"/>
              </w:rPr>
              <w:t>17.6</w:t>
            </w:r>
          </w:p>
        </w:tc>
        <w:tc>
          <w:tcPr>
            <w:tcW w:w="1012" w:type="dxa"/>
            <w:tcBorders>
              <w:top w:val="nil"/>
              <w:left w:val="nil"/>
              <w:bottom w:val="single" w:sz="8" w:space="0" w:color="D9D9D9"/>
              <w:right w:val="single" w:sz="8" w:space="0" w:color="D9D9D9"/>
            </w:tcBorders>
            <w:shd w:val="clear" w:color="000000" w:fill="FFFFFF"/>
            <w:noWrap/>
            <w:vAlign w:val="center"/>
            <w:hideMark/>
          </w:tcPr>
          <w:p w14:paraId="63911FE4" w14:textId="10D3BB5D" w:rsidR="00894471" w:rsidRPr="00387739" w:rsidRDefault="00894471" w:rsidP="008F3B5B">
            <w:pPr>
              <w:jc w:val="right"/>
              <w:rPr>
                <w:rFonts w:cs="Arial"/>
                <w:sz w:val="20"/>
                <w:szCs w:val="20"/>
                <w:lang w:eastAsia="en-AU"/>
              </w:rPr>
            </w:pPr>
            <w:r w:rsidRPr="00387739">
              <w:rPr>
                <w:rFonts w:cs="Arial"/>
                <w:sz w:val="20"/>
                <w:szCs w:val="20"/>
                <w:lang w:eastAsia="en-AU"/>
              </w:rPr>
              <w:t>17.6</w:t>
            </w:r>
          </w:p>
        </w:tc>
        <w:tc>
          <w:tcPr>
            <w:tcW w:w="1013" w:type="dxa"/>
            <w:tcBorders>
              <w:top w:val="nil"/>
              <w:left w:val="nil"/>
              <w:bottom w:val="single" w:sz="8" w:space="0" w:color="D9D9D9"/>
              <w:right w:val="single" w:sz="8" w:space="0" w:color="D9D9D9"/>
            </w:tcBorders>
            <w:shd w:val="clear" w:color="000000" w:fill="FFFFFF"/>
            <w:noWrap/>
            <w:vAlign w:val="center"/>
            <w:hideMark/>
          </w:tcPr>
          <w:p w14:paraId="51814E1C" w14:textId="25C79988" w:rsidR="00894471" w:rsidRPr="00387739" w:rsidRDefault="00894471" w:rsidP="008F3B5B">
            <w:pPr>
              <w:jc w:val="right"/>
              <w:rPr>
                <w:rFonts w:cs="Arial"/>
                <w:sz w:val="20"/>
                <w:szCs w:val="20"/>
                <w:lang w:eastAsia="en-AU"/>
              </w:rPr>
            </w:pPr>
            <w:r w:rsidRPr="00387739">
              <w:rPr>
                <w:rFonts w:cs="Arial"/>
                <w:sz w:val="20"/>
                <w:szCs w:val="20"/>
                <w:lang w:eastAsia="en-AU"/>
              </w:rPr>
              <w:t>17.3</w:t>
            </w:r>
          </w:p>
        </w:tc>
        <w:tc>
          <w:tcPr>
            <w:tcW w:w="1012" w:type="dxa"/>
            <w:tcBorders>
              <w:top w:val="nil"/>
              <w:left w:val="nil"/>
              <w:bottom w:val="single" w:sz="8" w:space="0" w:color="D9D9D9"/>
              <w:right w:val="single" w:sz="8" w:space="0" w:color="D9D9D9"/>
            </w:tcBorders>
            <w:shd w:val="clear" w:color="000000" w:fill="FFFFFF"/>
            <w:vAlign w:val="center"/>
            <w:hideMark/>
          </w:tcPr>
          <w:p w14:paraId="689E71AB" w14:textId="7559B977" w:rsidR="00894471" w:rsidRPr="00387739" w:rsidRDefault="00894471" w:rsidP="008F3B5B">
            <w:pPr>
              <w:jc w:val="right"/>
              <w:rPr>
                <w:rFonts w:cs="Arial"/>
                <w:sz w:val="20"/>
                <w:szCs w:val="20"/>
                <w:lang w:eastAsia="en-AU"/>
              </w:rPr>
            </w:pPr>
            <w:r w:rsidRPr="00387739">
              <w:rPr>
                <w:rFonts w:cs="Arial"/>
                <w:sz w:val="20"/>
                <w:szCs w:val="20"/>
                <w:lang w:eastAsia="en-AU"/>
              </w:rPr>
              <w:t>17.3</w:t>
            </w:r>
          </w:p>
        </w:tc>
        <w:tc>
          <w:tcPr>
            <w:tcW w:w="1013" w:type="dxa"/>
            <w:tcBorders>
              <w:top w:val="nil"/>
              <w:left w:val="nil"/>
              <w:bottom w:val="single" w:sz="8" w:space="0" w:color="D9D9D9"/>
              <w:right w:val="single" w:sz="8" w:space="0" w:color="D9D9D9"/>
            </w:tcBorders>
            <w:shd w:val="clear" w:color="000000" w:fill="FFFFFF"/>
            <w:vAlign w:val="center"/>
            <w:hideMark/>
          </w:tcPr>
          <w:p w14:paraId="217BA3BC" w14:textId="0E2CF9E1" w:rsidR="00894471" w:rsidRPr="00387739" w:rsidRDefault="00894471" w:rsidP="008F3B5B">
            <w:pPr>
              <w:jc w:val="right"/>
              <w:rPr>
                <w:rFonts w:cs="Arial"/>
                <w:sz w:val="20"/>
                <w:szCs w:val="20"/>
                <w:lang w:eastAsia="en-AU"/>
              </w:rPr>
            </w:pPr>
            <w:r w:rsidRPr="00387739">
              <w:rPr>
                <w:rFonts w:cs="Arial"/>
                <w:sz w:val="20"/>
                <w:szCs w:val="20"/>
                <w:lang w:eastAsia="en-AU"/>
              </w:rPr>
              <w:t>17.3</w:t>
            </w:r>
          </w:p>
        </w:tc>
        <w:tc>
          <w:tcPr>
            <w:tcW w:w="1012" w:type="dxa"/>
            <w:tcBorders>
              <w:top w:val="nil"/>
              <w:left w:val="nil"/>
              <w:bottom w:val="single" w:sz="8" w:space="0" w:color="D9D9D9"/>
              <w:right w:val="single" w:sz="8" w:space="0" w:color="D9D9D9"/>
            </w:tcBorders>
            <w:shd w:val="clear" w:color="000000" w:fill="FFFFFF"/>
            <w:vAlign w:val="center"/>
            <w:hideMark/>
          </w:tcPr>
          <w:p w14:paraId="1F452B61" w14:textId="6E7AD2B9" w:rsidR="00894471" w:rsidRPr="00387739" w:rsidRDefault="00894471" w:rsidP="008F3B5B">
            <w:pPr>
              <w:jc w:val="right"/>
              <w:rPr>
                <w:rFonts w:cs="Arial"/>
                <w:sz w:val="20"/>
                <w:szCs w:val="20"/>
                <w:lang w:eastAsia="en-AU"/>
              </w:rPr>
            </w:pPr>
            <w:r w:rsidRPr="00387739">
              <w:rPr>
                <w:rFonts w:cs="Arial"/>
                <w:sz w:val="20"/>
                <w:szCs w:val="20"/>
                <w:lang w:eastAsia="en-AU"/>
              </w:rPr>
              <w:t>17.6</w:t>
            </w:r>
          </w:p>
        </w:tc>
        <w:tc>
          <w:tcPr>
            <w:tcW w:w="1013" w:type="dxa"/>
            <w:tcBorders>
              <w:top w:val="nil"/>
              <w:left w:val="nil"/>
              <w:bottom w:val="single" w:sz="8" w:space="0" w:color="D9D9D9"/>
              <w:right w:val="single" w:sz="8" w:space="0" w:color="D9D9D9"/>
            </w:tcBorders>
            <w:shd w:val="clear" w:color="000000" w:fill="FFFFFF"/>
            <w:vAlign w:val="center"/>
            <w:hideMark/>
          </w:tcPr>
          <w:p w14:paraId="3B9DF80A" w14:textId="77777777" w:rsidR="00894471" w:rsidRPr="00387739" w:rsidRDefault="00894471" w:rsidP="008F3B5B">
            <w:pPr>
              <w:jc w:val="right"/>
              <w:rPr>
                <w:rFonts w:cs="Arial"/>
                <w:sz w:val="20"/>
                <w:szCs w:val="20"/>
                <w:lang w:eastAsia="en-AU"/>
              </w:rPr>
            </w:pPr>
            <w:r w:rsidRPr="00387739">
              <w:rPr>
                <w:rFonts w:cs="Arial"/>
                <w:sz w:val="20"/>
                <w:szCs w:val="20"/>
                <w:lang w:eastAsia="en-AU"/>
              </w:rPr>
              <w:t>-0.1</w:t>
            </w:r>
          </w:p>
        </w:tc>
      </w:tr>
      <w:tr w:rsidR="00894471" w:rsidRPr="003E1EBA" w14:paraId="2BFA3DDF"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047D853B"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Regional</w:t>
            </w:r>
          </w:p>
        </w:tc>
        <w:tc>
          <w:tcPr>
            <w:tcW w:w="1012" w:type="dxa"/>
            <w:tcBorders>
              <w:top w:val="nil"/>
              <w:left w:val="nil"/>
              <w:bottom w:val="single" w:sz="8" w:space="0" w:color="D9D9D9"/>
              <w:right w:val="single" w:sz="8" w:space="0" w:color="D9D9D9"/>
            </w:tcBorders>
            <w:shd w:val="clear" w:color="000000" w:fill="FFF6E0"/>
            <w:noWrap/>
            <w:vAlign w:val="center"/>
            <w:hideMark/>
          </w:tcPr>
          <w:p w14:paraId="5E6CEAD2" w14:textId="78F306EE" w:rsidR="00894471" w:rsidRPr="00387739" w:rsidRDefault="00894471" w:rsidP="008F3B5B">
            <w:pPr>
              <w:jc w:val="right"/>
              <w:rPr>
                <w:rFonts w:cs="Arial"/>
                <w:sz w:val="20"/>
                <w:szCs w:val="20"/>
                <w:lang w:eastAsia="en-AU"/>
              </w:rPr>
            </w:pPr>
            <w:r w:rsidRPr="00387739">
              <w:rPr>
                <w:rFonts w:cs="Arial"/>
                <w:sz w:val="20"/>
                <w:szCs w:val="20"/>
                <w:lang w:eastAsia="en-AU"/>
              </w:rPr>
              <w:t>20.7</w:t>
            </w:r>
          </w:p>
        </w:tc>
        <w:tc>
          <w:tcPr>
            <w:tcW w:w="1012" w:type="dxa"/>
            <w:tcBorders>
              <w:top w:val="nil"/>
              <w:left w:val="nil"/>
              <w:bottom w:val="single" w:sz="8" w:space="0" w:color="D9D9D9"/>
              <w:right w:val="single" w:sz="8" w:space="0" w:color="D9D9D9"/>
            </w:tcBorders>
            <w:shd w:val="clear" w:color="000000" w:fill="FFF6E0"/>
            <w:noWrap/>
            <w:vAlign w:val="center"/>
            <w:hideMark/>
          </w:tcPr>
          <w:p w14:paraId="13795195" w14:textId="1E5DBEE4" w:rsidR="00894471" w:rsidRPr="00387739" w:rsidRDefault="00894471" w:rsidP="008F3B5B">
            <w:pPr>
              <w:jc w:val="right"/>
              <w:rPr>
                <w:rFonts w:cs="Arial"/>
                <w:sz w:val="20"/>
                <w:szCs w:val="20"/>
                <w:lang w:eastAsia="en-AU"/>
              </w:rPr>
            </w:pPr>
            <w:r w:rsidRPr="00387739">
              <w:rPr>
                <w:rFonts w:cs="Arial"/>
                <w:sz w:val="20"/>
                <w:szCs w:val="20"/>
                <w:lang w:eastAsia="en-AU"/>
              </w:rPr>
              <w:t>20.5</w:t>
            </w:r>
          </w:p>
        </w:tc>
        <w:tc>
          <w:tcPr>
            <w:tcW w:w="1013" w:type="dxa"/>
            <w:tcBorders>
              <w:top w:val="nil"/>
              <w:left w:val="nil"/>
              <w:bottom w:val="single" w:sz="8" w:space="0" w:color="D9D9D9"/>
              <w:right w:val="single" w:sz="8" w:space="0" w:color="D9D9D9"/>
            </w:tcBorders>
            <w:shd w:val="clear" w:color="000000" w:fill="FFF6E0"/>
            <w:noWrap/>
            <w:vAlign w:val="center"/>
            <w:hideMark/>
          </w:tcPr>
          <w:p w14:paraId="303B8C0F" w14:textId="0D70EFFF" w:rsidR="00894471" w:rsidRPr="00387739" w:rsidRDefault="00894471" w:rsidP="008F3B5B">
            <w:pPr>
              <w:jc w:val="right"/>
              <w:rPr>
                <w:rFonts w:cs="Arial"/>
                <w:sz w:val="20"/>
                <w:szCs w:val="20"/>
                <w:lang w:eastAsia="en-AU"/>
              </w:rPr>
            </w:pPr>
            <w:r w:rsidRPr="00387739">
              <w:rPr>
                <w:rFonts w:cs="Arial"/>
                <w:sz w:val="20"/>
                <w:szCs w:val="20"/>
                <w:lang w:eastAsia="en-AU"/>
              </w:rPr>
              <w:t>20.5</w:t>
            </w:r>
          </w:p>
        </w:tc>
        <w:tc>
          <w:tcPr>
            <w:tcW w:w="1012" w:type="dxa"/>
            <w:tcBorders>
              <w:top w:val="nil"/>
              <w:left w:val="nil"/>
              <w:bottom w:val="single" w:sz="8" w:space="0" w:color="D9D9D9"/>
              <w:right w:val="single" w:sz="8" w:space="0" w:color="D9D9D9"/>
            </w:tcBorders>
            <w:shd w:val="clear" w:color="000000" w:fill="FFF6E0"/>
            <w:vAlign w:val="center"/>
            <w:hideMark/>
          </w:tcPr>
          <w:p w14:paraId="7778E780" w14:textId="40B3C1D5" w:rsidR="00894471" w:rsidRPr="00387739" w:rsidRDefault="00894471" w:rsidP="008F3B5B">
            <w:pPr>
              <w:jc w:val="right"/>
              <w:rPr>
                <w:rFonts w:cs="Arial"/>
                <w:sz w:val="20"/>
                <w:szCs w:val="20"/>
                <w:lang w:eastAsia="en-AU"/>
              </w:rPr>
            </w:pPr>
            <w:r w:rsidRPr="00387739">
              <w:rPr>
                <w:rFonts w:cs="Arial"/>
                <w:sz w:val="20"/>
                <w:szCs w:val="20"/>
                <w:lang w:eastAsia="en-AU"/>
              </w:rPr>
              <w:t>20.2</w:t>
            </w:r>
          </w:p>
        </w:tc>
        <w:tc>
          <w:tcPr>
            <w:tcW w:w="1013" w:type="dxa"/>
            <w:tcBorders>
              <w:top w:val="nil"/>
              <w:left w:val="nil"/>
              <w:bottom w:val="single" w:sz="8" w:space="0" w:color="D9D9D9"/>
              <w:right w:val="single" w:sz="8" w:space="0" w:color="D9D9D9"/>
            </w:tcBorders>
            <w:shd w:val="clear" w:color="000000" w:fill="FFF6E0"/>
            <w:vAlign w:val="center"/>
            <w:hideMark/>
          </w:tcPr>
          <w:p w14:paraId="74560159" w14:textId="4B1FEB0F" w:rsidR="00894471" w:rsidRPr="00387739" w:rsidRDefault="00894471" w:rsidP="008F3B5B">
            <w:pPr>
              <w:jc w:val="right"/>
              <w:rPr>
                <w:rFonts w:cs="Arial"/>
                <w:sz w:val="20"/>
                <w:szCs w:val="20"/>
                <w:lang w:eastAsia="en-AU"/>
              </w:rPr>
            </w:pPr>
            <w:r w:rsidRPr="00387739">
              <w:rPr>
                <w:rFonts w:cs="Arial"/>
                <w:sz w:val="20"/>
                <w:szCs w:val="20"/>
                <w:lang w:eastAsia="en-AU"/>
              </w:rPr>
              <w:t>20.3</w:t>
            </w:r>
          </w:p>
        </w:tc>
        <w:tc>
          <w:tcPr>
            <w:tcW w:w="1012" w:type="dxa"/>
            <w:tcBorders>
              <w:top w:val="nil"/>
              <w:left w:val="nil"/>
              <w:bottom w:val="single" w:sz="8" w:space="0" w:color="D9D9D9"/>
              <w:right w:val="single" w:sz="8" w:space="0" w:color="D9D9D9"/>
            </w:tcBorders>
            <w:shd w:val="clear" w:color="000000" w:fill="FFF6E0"/>
            <w:vAlign w:val="center"/>
            <w:hideMark/>
          </w:tcPr>
          <w:p w14:paraId="227EAA3F" w14:textId="228980C2" w:rsidR="00894471" w:rsidRPr="00387739" w:rsidRDefault="00894471" w:rsidP="008F3B5B">
            <w:pPr>
              <w:jc w:val="right"/>
              <w:rPr>
                <w:rFonts w:cs="Arial"/>
                <w:sz w:val="20"/>
                <w:szCs w:val="20"/>
                <w:lang w:eastAsia="en-AU"/>
              </w:rPr>
            </w:pPr>
            <w:r w:rsidRPr="00387739">
              <w:rPr>
                <w:rFonts w:cs="Arial"/>
                <w:sz w:val="20"/>
                <w:szCs w:val="20"/>
                <w:lang w:eastAsia="en-AU"/>
              </w:rPr>
              <w:t>19.8</w:t>
            </w:r>
          </w:p>
        </w:tc>
        <w:tc>
          <w:tcPr>
            <w:tcW w:w="1013" w:type="dxa"/>
            <w:tcBorders>
              <w:top w:val="nil"/>
              <w:left w:val="nil"/>
              <w:bottom w:val="single" w:sz="8" w:space="0" w:color="D9D9D9"/>
              <w:right w:val="single" w:sz="8" w:space="0" w:color="D9D9D9"/>
            </w:tcBorders>
            <w:shd w:val="clear" w:color="000000" w:fill="FFF6E0"/>
            <w:vAlign w:val="center"/>
            <w:hideMark/>
          </w:tcPr>
          <w:p w14:paraId="7055F08D" w14:textId="77777777" w:rsidR="00894471" w:rsidRPr="00387739" w:rsidRDefault="00894471" w:rsidP="008F3B5B">
            <w:pPr>
              <w:jc w:val="right"/>
              <w:rPr>
                <w:rFonts w:cs="Arial"/>
                <w:sz w:val="20"/>
                <w:szCs w:val="20"/>
                <w:lang w:eastAsia="en-AU"/>
              </w:rPr>
            </w:pPr>
            <w:r w:rsidRPr="00387739">
              <w:rPr>
                <w:rFonts w:cs="Arial"/>
                <w:sz w:val="20"/>
                <w:szCs w:val="20"/>
                <w:lang w:eastAsia="en-AU"/>
              </w:rPr>
              <w:t>-0.9</w:t>
            </w:r>
          </w:p>
        </w:tc>
      </w:tr>
      <w:tr w:rsidR="00894471" w:rsidRPr="003E1EBA" w14:paraId="3FC2226A"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FFF"/>
            <w:noWrap/>
            <w:vAlign w:val="center"/>
            <w:hideMark/>
          </w:tcPr>
          <w:p w14:paraId="3A24562D"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Remote</w:t>
            </w:r>
          </w:p>
        </w:tc>
        <w:tc>
          <w:tcPr>
            <w:tcW w:w="1012" w:type="dxa"/>
            <w:tcBorders>
              <w:top w:val="nil"/>
              <w:left w:val="nil"/>
              <w:bottom w:val="single" w:sz="8" w:space="0" w:color="D9D9D9"/>
              <w:right w:val="single" w:sz="8" w:space="0" w:color="D9D9D9"/>
            </w:tcBorders>
            <w:shd w:val="clear" w:color="000000" w:fill="FFFFFF"/>
            <w:noWrap/>
            <w:vAlign w:val="center"/>
            <w:hideMark/>
          </w:tcPr>
          <w:p w14:paraId="1F0ABEBD" w14:textId="101D51F2" w:rsidR="00894471" w:rsidRPr="00387739" w:rsidRDefault="00894471" w:rsidP="008F3B5B">
            <w:pPr>
              <w:jc w:val="right"/>
              <w:rPr>
                <w:rFonts w:cs="Arial"/>
                <w:color w:val="000000"/>
                <w:sz w:val="20"/>
                <w:szCs w:val="20"/>
                <w:lang w:eastAsia="en-AU"/>
              </w:rPr>
            </w:pPr>
            <w:r w:rsidRPr="00387739">
              <w:rPr>
                <w:rFonts w:cs="Arial"/>
                <w:sz w:val="20"/>
                <w:szCs w:val="20"/>
              </w:rPr>
              <w:t>0.84</w:t>
            </w:r>
          </w:p>
        </w:tc>
        <w:tc>
          <w:tcPr>
            <w:tcW w:w="1012" w:type="dxa"/>
            <w:tcBorders>
              <w:top w:val="nil"/>
              <w:left w:val="nil"/>
              <w:bottom w:val="single" w:sz="8" w:space="0" w:color="D9D9D9"/>
              <w:right w:val="single" w:sz="8" w:space="0" w:color="D9D9D9"/>
            </w:tcBorders>
            <w:shd w:val="clear" w:color="000000" w:fill="FFFFFF"/>
            <w:noWrap/>
            <w:vAlign w:val="center"/>
            <w:hideMark/>
          </w:tcPr>
          <w:p w14:paraId="7A440996" w14:textId="4FDD5E9F" w:rsidR="00894471" w:rsidRPr="00387739" w:rsidRDefault="00894471" w:rsidP="008F3B5B">
            <w:pPr>
              <w:jc w:val="right"/>
              <w:rPr>
                <w:rFonts w:cs="Arial"/>
                <w:color w:val="000000"/>
                <w:sz w:val="20"/>
                <w:szCs w:val="20"/>
                <w:lang w:eastAsia="en-AU"/>
              </w:rPr>
            </w:pPr>
            <w:r w:rsidRPr="00387739">
              <w:rPr>
                <w:rFonts w:cs="Arial"/>
                <w:sz w:val="20"/>
                <w:szCs w:val="20"/>
              </w:rPr>
              <w:t>0.83</w:t>
            </w:r>
          </w:p>
        </w:tc>
        <w:tc>
          <w:tcPr>
            <w:tcW w:w="1013" w:type="dxa"/>
            <w:tcBorders>
              <w:top w:val="nil"/>
              <w:left w:val="nil"/>
              <w:bottom w:val="single" w:sz="8" w:space="0" w:color="D9D9D9"/>
              <w:right w:val="single" w:sz="8" w:space="0" w:color="D9D9D9"/>
            </w:tcBorders>
            <w:shd w:val="clear" w:color="000000" w:fill="FFFFFF"/>
            <w:noWrap/>
            <w:vAlign w:val="center"/>
            <w:hideMark/>
          </w:tcPr>
          <w:p w14:paraId="1F30B0C9" w14:textId="7A83CBF4" w:rsidR="00894471" w:rsidRPr="00387739" w:rsidRDefault="00894471" w:rsidP="008F3B5B">
            <w:pPr>
              <w:jc w:val="right"/>
              <w:rPr>
                <w:rFonts w:cs="Arial"/>
                <w:color w:val="000000"/>
                <w:sz w:val="20"/>
                <w:szCs w:val="20"/>
                <w:lang w:eastAsia="en-AU"/>
              </w:rPr>
            </w:pPr>
            <w:r w:rsidRPr="00387739">
              <w:rPr>
                <w:rFonts w:cs="Arial"/>
                <w:sz w:val="20"/>
                <w:szCs w:val="20"/>
              </w:rPr>
              <w:t>0.81</w:t>
            </w:r>
          </w:p>
        </w:tc>
        <w:tc>
          <w:tcPr>
            <w:tcW w:w="1012" w:type="dxa"/>
            <w:tcBorders>
              <w:top w:val="nil"/>
              <w:left w:val="nil"/>
              <w:bottom w:val="single" w:sz="8" w:space="0" w:color="D9D9D9"/>
              <w:right w:val="single" w:sz="8" w:space="0" w:color="D9D9D9"/>
            </w:tcBorders>
            <w:shd w:val="clear" w:color="000000" w:fill="FFFFFF"/>
            <w:vAlign w:val="center"/>
            <w:hideMark/>
          </w:tcPr>
          <w:p w14:paraId="29FADB13" w14:textId="2D3459CF" w:rsidR="00894471" w:rsidRPr="00387739" w:rsidRDefault="00894471" w:rsidP="008F3B5B">
            <w:pPr>
              <w:jc w:val="right"/>
              <w:rPr>
                <w:rFonts w:cs="Arial"/>
                <w:color w:val="000000"/>
                <w:sz w:val="20"/>
                <w:szCs w:val="20"/>
                <w:lang w:eastAsia="en-AU"/>
              </w:rPr>
            </w:pPr>
            <w:r w:rsidRPr="00387739">
              <w:rPr>
                <w:rFonts w:cs="Arial"/>
                <w:sz w:val="20"/>
                <w:szCs w:val="20"/>
              </w:rPr>
              <w:t>0.81</w:t>
            </w:r>
          </w:p>
        </w:tc>
        <w:tc>
          <w:tcPr>
            <w:tcW w:w="1013" w:type="dxa"/>
            <w:tcBorders>
              <w:top w:val="nil"/>
              <w:left w:val="nil"/>
              <w:bottom w:val="single" w:sz="8" w:space="0" w:color="D9D9D9"/>
              <w:right w:val="single" w:sz="8" w:space="0" w:color="D9D9D9"/>
            </w:tcBorders>
            <w:shd w:val="clear" w:color="000000" w:fill="FFFFFF"/>
            <w:vAlign w:val="center"/>
            <w:hideMark/>
          </w:tcPr>
          <w:p w14:paraId="17B32964" w14:textId="4C6631F1" w:rsidR="00894471" w:rsidRPr="00387739" w:rsidRDefault="00894471" w:rsidP="008F3B5B">
            <w:pPr>
              <w:jc w:val="right"/>
              <w:rPr>
                <w:rFonts w:cs="Arial"/>
                <w:color w:val="000000"/>
                <w:sz w:val="20"/>
                <w:szCs w:val="20"/>
                <w:lang w:eastAsia="en-AU"/>
              </w:rPr>
            </w:pPr>
            <w:r w:rsidRPr="00387739">
              <w:rPr>
                <w:rFonts w:cs="Arial"/>
                <w:sz w:val="20"/>
                <w:szCs w:val="20"/>
              </w:rPr>
              <w:t>0.81</w:t>
            </w:r>
          </w:p>
        </w:tc>
        <w:tc>
          <w:tcPr>
            <w:tcW w:w="1012" w:type="dxa"/>
            <w:tcBorders>
              <w:top w:val="nil"/>
              <w:left w:val="nil"/>
              <w:bottom w:val="single" w:sz="8" w:space="0" w:color="D9D9D9"/>
              <w:right w:val="single" w:sz="8" w:space="0" w:color="D9D9D9"/>
            </w:tcBorders>
            <w:shd w:val="clear" w:color="000000" w:fill="FFFFFF"/>
            <w:vAlign w:val="center"/>
            <w:hideMark/>
          </w:tcPr>
          <w:p w14:paraId="4F47B1BA" w14:textId="0796B8EE" w:rsidR="00894471" w:rsidRPr="00387739" w:rsidRDefault="00894471" w:rsidP="008F3B5B">
            <w:pPr>
              <w:jc w:val="right"/>
              <w:rPr>
                <w:rFonts w:cs="Arial"/>
                <w:color w:val="000000"/>
                <w:sz w:val="20"/>
                <w:szCs w:val="20"/>
                <w:lang w:eastAsia="en-AU"/>
              </w:rPr>
            </w:pPr>
            <w:r w:rsidRPr="00387739">
              <w:rPr>
                <w:rFonts w:cs="Arial"/>
                <w:sz w:val="20"/>
                <w:szCs w:val="20"/>
              </w:rPr>
              <w:t>0.79</w:t>
            </w:r>
          </w:p>
        </w:tc>
        <w:tc>
          <w:tcPr>
            <w:tcW w:w="1013" w:type="dxa"/>
            <w:tcBorders>
              <w:top w:val="nil"/>
              <w:left w:val="nil"/>
              <w:bottom w:val="single" w:sz="8" w:space="0" w:color="D9D9D9"/>
              <w:right w:val="single" w:sz="8" w:space="0" w:color="D9D9D9"/>
            </w:tcBorders>
            <w:shd w:val="clear" w:color="000000" w:fill="FFFFFF"/>
            <w:vAlign w:val="center"/>
            <w:hideMark/>
          </w:tcPr>
          <w:p w14:paraId="0C7A0297" w14:textId="77777777" w:rsidR="00894471" w:rsidRPr="00387739" w:rsidRDefault="00894471" w:rsidP="008F3B5B">
            <w:pPr>
              <w:jc w:val="right"/>
              <w:rPr>
                <w:rFonts w:cs="Arial"/>
                <w:sz w:val="20"/>
                <w:szCs w:val="20"/>
                <w:lang w:eastAsia="en-AU"/>
              </w:rPr>
            </w:pPr>
            <w:r w:rsidRPr="00387739">
              <w:rPr>
                <w:rFonts w:cs="Arial"/>
                <w:sz w:val="20"/>
                <w:szCs w:val="20"/>
                <w:lang w:eastAsia="en-AU"/>
              </w:rPr>
              <w:t>-0.04</w:t>
            </w:r>
          </w:p>
        </w:tc>
      </w:tr>
      <w:tr w:rsidR="00894471" w:rsidRPr="003E1EBA" w14:paraId="6383B2F5" w14:textId="77777777" w:rsidTr="00207C67">
        <w:trPr>
          <w:trHeight w:hRule="exact" w:val="312"/>
        </w:trPr>
        <w:tc>
          <w:tcPr>
            <w:tcW w:w="2411" w:type="dxa"/>
            <w:tcBorders>
              <w:top w:val="nil"/>
              <w:left w:val="single" w:sz="8" w:space="0" w:color="D9D9D9"/>
              <w:bottom w:val="single" w:sz="8" w:space="0" w:color="D9D9D9"/>
              <w:right w:val="single" w:sz="8" w:space="0" w:color="D9D9D9"/>
            </w:tcBorders>
            <w:shd w:val="clear" w:color="000000" w:fill="FFF6E0"/>
            <w:noWrap/>
            <w:vAlign w:val="center"/>
            <w:hideMark/>
          </w:tcPr>
          <w:p w14:paraId="15AF01E5" w14:textId="77777777" w:rsidR="00894471" w:rsidRPr="00387739" w:rsidRDefault="00894471" w:rsidP="005267D3">
            <w:pPr>
              <w:rPr>
                <w:rFonts w:cs="Arial"/>
                <w:color w:val="000000"/>
                <w:sz w:val="20"/>
                <w:szCs w:val="20"/>
                <w:lang w:eastAsia="en-AU"/>
              </w:rPr>
            </w:pPr>
            <w:r w:rsidRPr="00387739">
              <w:rPr>
                <w:rFonts w:cs="Arial"/>
                <w:sz w:val="20"/>
                <w:szCs w:val="20"/>
                <w:lang w:eastAsia="en-AU"/>
              </w:rPr>
              <w:t>NESB</w:t>
            </w:r>
          </w:p>
        </w:tc>
        <w:tc>
          <w:tcPr>
            <w:tcW w:w="1012" w:type="dxa"/>
            <w:tcBorders>
              <w:top w:val="nil"/>
              <w:left w:val="nil"/>
              <w:bottom w:val="single" w:sz="8" w:space="0" w:color="D9D9D9"/>
              <w:right w:val="single" w:sz="8" w:space="0" w:color="D9D9D9"/>
            </w:tcBorders>
            <w:shd w:val="clear" w:color="000000" w:fill="FFF6E0"/>
            <w:noWrap/>
            <w:vAlign w:val="center"/>
            <w:hideMark/>
          </w:tcPr>
          <w:p w14:paraId="75E8694F" w14:textId="3C4135CA" w:rsidR="00894471" w:rsidRPr="00387739" w:rsidRDefault="00894471" w:rsidP="008F3B5B">
            <w:pPr>
              <w:jc w:val="right"/>
              <w:rPr>
                <w:rFonts w:cs="Arial"/>
                <w:sz w:val="20"/>
                <w:szCs w:val="20"/>
                <w:lang w:eastAsia="en-AU"/>
              </w:rPr>
            </w:pPr>
            <w:r w:rsidRPr="00387739">
              <w:rPr>
                <w:rFonts w:cs="Arial"/>
                <w:sz w:val="20"/>
                <w:szCs w:val="20"/>
                <w:lang w:eastAsia="en-AU"/>
              </w:rPr>
              <w:t>3.4</w:t>
            </w:r>
          </w:p>
        </w:tc>
        <w:tc>
          <w:tcPr>
            <w:tcW w:w="1012" w:type="dxa"/>
            <w:tcBorders>
              <w:top w:val="nil"/>
              <w:left w:val="nil"/>
              <w:bottom w:val="single" w:sz="8" w:space="0" w:color="D9D9D9"/>
              <w:right w:val="single" w:sz="8" w:space="0" w:color="D9D9D9"/>
            </w:tcBorders>
            <w:shd w:val="clear" w:color="000000" w:fill="FFF6E0"/>
            <w:noWrap/>
            <w:vAlign w:val="center"/>
            <w:hideMark/>
          </w:tcPr>
          <w:p w14:paraId="701CE199" w14:textId="2CB94A1F" w:rsidR="00894471" w:rsidRPr="00387739" w:rsidRDefault="00894471" w:rsidP="008F3B5B">
            <w:pPr>
              <w:jc w:val="right"/>
              <w:rPr>
                <w:rFonts w:cs="Arial"/>
                <w:sz w:val="20"/>
                <w:szCs w:val="20"/>
                <w:lang w:eastAsia="en-AU"/>
              </w:rPr>
            </w:pPr>
            <w:r w:rsidRPr="00387739">
              <w:rPr>
                <w:rFonts w:cs="Arial"/>
                <w:sz w:val="20"/>
                <w:szCs w:val="20"/>
                <w:lang w:eastAsia="en-AU"/>
              </w:rPr>
              <w:t>3.6</w:t>
            </w:r>
          </w:p>
        </w:tc>
        <w:tc>
          <w:tcPr>
            <w:tcW w:w="1013" w:type="dxa"/>
            <w:tcBorders>
              <w:top w:val="nil"/>
              <w:left w:val="nil"/>
              <w:bottom w:val="single" w:sz="8" w:space="0" w:color="D9D9D9"/>
              <w:right w:val="single" w:sz="8" w:space="0" w:color="D9D9D9"/>
            </w:tcBorders>
            <w:shd w:val="clear" w:color="000000" w:fill="FFF6E0"/>
            <w:noWrap/>
            <w:vAlign w:val="center"/>
            <w:hideMark/>
          </w:tcPr>
          <w:p w14:paraId="1F07ABFC" w14:textId="5B5D4287" w:rsidR="00894471" w:rsidRPr="00387739" w:rsidRDefault="00894471" w:rsidP="008F3B5B">
            <w:pPr>
              <w:jc w:val="right"/>
              <w:rPr>
                <w:rFonts w:cs="Arial"/>
                <w:sz w:val="20"/>
                <w:szCs w:val="20"/>
                <w:lang w:eastAsia="en-AU"/>
              </w:rPr>
            </w:pPr>
            <w:r w:rsidRPr="00387739">
              <w:rPr>
                <w:rFonts w:cs="Arial"/>
                <w:sz w:val="20"/>
                <w:szCs w:val="20"/>
                <w:lang w:eastAsia="en-AU"/>
              </w:rPr>
              <w:t>3.7</w:t>
            </w:r>
          </w:p>
        </w:tc>
        <w:tc>
          <w:tcPr>
            <w:tcW w:w="1012" w:type="dxa"/>
            <w:tcBorders>
              <w:top w:val="nil"/>
              <w:left w:val="nil"/>
              <w:bottom w:val="single" w:sz="8" w:space="0" w:color="D9D9D9"/>
              <w:right w:val="single" w:sz="8" w:space="0" w:color="D9D9D9"/>
            </w:tcBorders>
            <w:shd w:val="clear" w:color="000000" w:fill="FFF6E0"/>
            <w:vAlign w:val="center"/>
            <w:hideMark/>
          </w:tcPr>
          <w:p w14:paraId="045DB0B3" w14:textId="23CE28E2" w:rsidR="00894471" w:rsidRPr="00387739" w:rsidRDefault="00894471" w:rsidP="008F3B5B">
            <w:pPr>
              <w:jc w:val="right"/>
              <w:rPr>
                <w:rFonts w:cs="Arial"/>
                <w:sz w:val="20"/>
                <w:szCs w:val="20"/>
                <w:lang w:eastAsia="en-AU"/>
              </w:rPr>
            </w:pPr>
            <w:r w:rsidRPr="00387739">
              <w:rPr>
                <w:rFonts w:cs="Arial"/>
                <w:sz w:val="20"/>
                <w:szCs w:val="20"/>
                <w:lang w:eastAsia="en-AU"/>
              </w:rPr>
              <w:t>3.7</w:t>
            </w:r>
          </w:p>
        </w:tc>
        <w:tc>
          <w:tcPr>
            <w:tcW w:w="1013" w:type="dxa"/>
            <w:tcBorders>
              <w:top w:val="nil"/>
              <w:left w:val="nil"/>
              <w:bottom w:val="single" w:sz="8" w:space="0" w:color="D9D9D9"/>
              <w:right w:val="single" w:sz="8" w:space="0" w:color="D9D9D9"/>
            </w:tcBorders>
            <w:shd w:val="clear" w:color="000000" w:fill="FFF6E0"/>
            <w:vAlign w:val="center"/>
            <w:hideMark/>
          </w:tcPr>
          <w:p w14:paraId="195087D0" w14:textId="370338E6" w:rsidR="00894471" w:rsidRPr="00387739" w:rsidRDefault="00894471" w:rsidP="008F3B5B">
            <w:pPr>
              <w:jc w:val="right"/>
              <w:rPr>
                <w:rFonts w:cs="Arial"/>
                <w:sz w:val="20"/>
                <w:szCs w:val="20"/>
                <w:lang w:eastAsia="en-AU"/>
              </w:rPr>
            </w:pPr>
            <w:r w:rsidRPr="00387739">
              <w:rPr>
                <w:rFonts w:cs="Arial"/>
                <w:sz w:val="20"/>
                <w:szCs w:val="20"/>
                <w:lang w:eastAsia="en-AU"/>
              </w:rPr>
              <w:t>3.6</w:t>
            </w:r>
          </w:p>
        </w:tc>
        <w:tc>
          <w:tcPr>
            <w:tcW w:w="1012" w:type="dxa"/>
            <w:tcBorders>
              <w:top w:val="nil"/>
              <w:left w:val="nil"/>
              <w:bottom w:val="single" w:sz="8" w:space="0" w:color="D9D9D9"/>
              <w:right w:val="single" w:sz="8" w:space="0" w:color="D9D9D9"/>
            </w:tcBorders>
            <w:shd w:val="clear" w:color="000000" w:fill="FFF6E0"/>
            <w:vAlign w:val="center"/>
            <w:hideMark/>
          </w:tcPr>
          <w:p w14:paraId="417706A9" w14:textId="11AA9E62" w:rsidR="00894471" w:rsidRPr="00387739" w:rsidRDefault="00894471" w:rsidP="008F3B5B">
            <w:pPr>
              <w:jc w:val="right"/>
              <w:rPr>
                <w:rFonts w:cs="Arial"/>
                <w:sz w:val="20"/>
                <w:szCs w:val="20"/>
                <w:lang w:eastAsia="en-AU"/>
              </w:rPr>
            </w:pPr>
            <w:r w:rsidRPr="00387739">
              <w:rPr>
                <w:rFonts w:cs="Arial"/>
                <w:sz w:val="20"/>
                <w:szCs w:val="20"/>
                <w:lang w:eastAsia="en-AU"/>
              </w:rPr>
              <w:t>3.4</w:t>
            </w:r>
          </w:p>
        </w:tc>
        <w:tc>
          <w:tcPr>
            <w:tcW w:w="1013" w:type="dxa"/>
            <w:tcBorders>
              <w:top w:val="nil"/>
              <w:left w:val="nil"/>
              <w:bottom w:val="single" w:sz="8" w:space="0" w:color="D9D9D9"/>
              <w:right w:val="single" w:sz="8" w:space="0" w:color="D9D9D9"/>
            </w:tcBorders>
            <w:shd w:val="clear" w:color="000000" w:fill="FFF6E0"/>
            <w:vAlign w:val="center"/>
            <w:hideMark/>
          </w:tcPr>
          <w:p w14:paraId="0E4761E8" w14:textId="77777777" w:rsidR="00894471" w:rsidRPr="00387739" w:rsidRDefault="00894471" w:rsidP="008F3B5B">
            <w:pPr>
              <w:jc w:val="right"/>
              <w:rPr>
                <w:rFonts w:cs="Arial"/>
                <w:sz w:val="20"/>
                <w:szCs w:val="20"/>
                <w:lang w:eastAsia="en-AU"/>
              </w:rPr>
            </w:pPr>
            <w:r w:rsidRPr="00387739">
              <w:rPr>
                <w:rFonts w:cs="Arial"/>
                <w:sz w:val="20"/>
                <w:szCs w:val="20"/>
                <w:lang w:eastAsia="en-AU"/>
              </w:rPr>
              <w:t>0.0</w:t>
            </w:r>
          </w:p>
        </w:tc>
      </w:tr>
    </w:tbl>
    <w:p w14:paraId="04D4C5D2" w14:textId="2FD32F8D" w:rsidR="00894471" w:rsidRPr="00207C67" w:rsidRDefault="00894471" w:rsidP="00207C67">
      <w:pPr>
        <w:spacing w:before="240" w:line="240" w:lineRule="auto"/>
        <w:rPr>
          <w:sz w:val="18"/>
          <w:szCs w:val="18"/>
        </w:rPr>
      </w:pPr>
      <w:r w:rsidRPr="00207C67">
        <w:rPr>
          <w:b/>
          <w:sz w:val="18"/>
          <w:szCs w:val="18"/>
        </w:rPr>
        <w:t>Note:</w:t>
      </w:r>
      <w:r w:rsidRPr="00207C67">
        <w:rPr>
          <w:sz w:val="18"/>
          <w:szCs w:val="18"/>
        </w:rPr>
        <w:t xml:space="preserve"> 1. PPC (Percentage Point Change) is calculated as percentage share in 2018 minus percentage share in 2013. </w:t>
      </w:r>
      <w:r w:rsidRPr="00207C67">
        <w:rPr>
          <w:b/>
          <w:sz w:val="18"/>
          <w:szCs w:val="18"/>
        </w:rPr>
        <w:t>Source:</w:t>
      </w:r>
      <w:r w:rsidRPr="00207C67">
        <w:rPr>
          <w:sz w:val="18"/>
          <w:szCs w:val="18"/>
        </w:rPr>
        <w:t xml:space="preserve"> Table 14, Koshy (2019). </w:t>
      </w:r>
    </w:p>
    <w:p w14:paraId="727F008F" w14:textId="555C8D61" w:rsidR="00C15064" w:rsidRDefault="00C15064" w:rsidP="00A43206">
      <w:pPr>
        <w:spacing w:before="240"/>
      </w:pPr>
      <w:r>
        <w:t xml:space="preserve">It is worth noting that over the past six years the share of students reporting a disability has increased by 1.8 percentage points </w:t>
      </w:r>
      <w:r w:rsidR="009460F5">
        <w:t>—</w:t>
      </w:r>
      <w:r>
        <w:t xml:space="preserve"> up from 5.5 per cent in 2013</w:t>
      </w:r>
      <w:r w:rsidR="00BA314E">
        <w:t xml:space="preserve">. This increase reflects </w:t>
      </w:r>
      <w:r>
        <w:t xml:space="preserve">the relatively strong growth in enrolments among students with disability, an expansion of 50 per cent compared with overall growth of 12.6 per cent. </w:t>
      </w:r>
      <w:r w:rsidR="0060009F">
        <w:t>This r</w:t>
      </w:r>
      <w:r>
        <w:t>epresent</w:t>
      </w:r>
      <w:r w:rsidR="0060009F">
        <w:t>s</w:t>
      </w:r>
      <w:r>
        <w:t xml:space="preserve"> a continuation of trend </w:t>
      </w:r>
      <w:r w:rsidR="00036A5B">
        <w:t>since 2009</w:t>
      </w:r>
      <w:r>
        <w:t xml:space="preserve">, </w:t>
      </w:r>
      <w:r w:rsidR="00A57545">
        <w:lastRenderedPageBreak/>
        <w:t xml:space="preserve">during which </w:t>
      </w:r>
      <w:r w:rsidR="004F1BEA">
        <w:t>the number</w:t>
      </w:r>
      <w:r>
        <w:t xml:space="preserve"> </w:t>
      </w:r>
      <w:r w:rsidR="004F1BEA">
        <w:t>of</w:t>
      </w:r>
      <w:r>
        <w:t xml:space="preserve"> students with disability </w:t>
      </w:r>
      <w:r w:rsidR="001B39B7">
        <w:t xml:space="preserve">has </w:t>
      </w:r>
      <w:r w:rsidR="00A57545">
        <w:t>increased</w:t>
      </w:r>
      <w:r>
        <w:t xml:space="preserve"> by over 122 per cent</w:t>
      </w:r>
      <w:r w:rsidR="005C2190">
        <w:t>,</w:t>
      </w:r>
      <w:r>
        <w:t xml:space="preserve"> </w:t>
      </w:r>
      <w:r w:rsidR="00780CDF">
        <w:t>with their share of</w:t>
      </w:r>
      <w:r>
        <w:t xml:space="preserve"> undergraduate</w:t>
      </w:r>
      <w:r w:rsidR="004F1BEA">
        <w:t>s</w:t>
      </w:r>
      <w:r w:rsidR="00780CDF">
        <w:t xml:space="preserve"> rising from 4.5 per cent</w:t>
      </w:r>
      <w:r w:rsidR="001B39B7">
        <w:t xml:space="preserve"> </w:t>
      </w:r>
      <w:r w:rsidR="00036A5B">
        <w:t xml:space="preserve">in that year </w:t>
      </w:r>
      <w:r>
        <w:t>(National Centre for Student Equity in Higher Education, 2020</w:t>
      </w:r>
      <w:r w:rsidR="00866AE5">
        <w:t>b</w:t>
      </w:r>
      <w:r>
        <w:t xml:space="preserve">). </w:t>
      </w:r>
    </w:p>
    <w:p w14:paraId="66C0BE39" w14:textId="685B672F" w:rsidR="00894471" w:rsidRDefault="00894471" w:rsidP="005267D3">
      <w:r>
        <w:t xml:space="preserve">The growth in </w:t>
      </w:r>
      <w:r w:rsidR="0060009F">
        <w:t xml:space="preserve">the </w:t>
      </w:r>
      <w:r>
        <w:t>number</w:t>
      </w:r>
      <w:r w:rsidR="0060009F">
        <w:t xml:space="preserve"> of</w:t>
      </w:r>
      <w:r>
        <w:t xml:space="preserve"> </w:t>
      </w:r>
      <w:r w:rsidR="0060009F">
        <w:t>s</w:t>
      </w:r>
      <w:r>
        <w:t xml:space="preserve">tudents with disability has exceeded both overall growth in numbers </w:t>
      </w:r>
      <w:r w:rsidR="00DE33E3">
        <w:t>and</w:t>
      </w:r>
      <w:r>
        <w:t xml:space="preserve"> that of other equity groups. This is due to a combination of policy-related factors, including the introduction of the demand driven funding system in 2011</w:t>
      </w:r>
      <w:r w:rsidR="00A079F1">
        <w:t>–</w:t>
      </w:r>
      <w:r>
        <w:t>12, general equity initiatives such as the Higher Education Participation and Partnerships Program (HEPPP), and specific initiatives such as the Higher Education Disability Support Program</w:t>
      </w:r>
      <w:r w:rsidR="0060009F">
        <w:t xml:space="preserve"> (DSP)</w:t>
      </w:r>
      <w:r>
        <w:t xml:space="preserve"> —</w:t>
      </w:r>
      <w:r w:rsidR="0096727F">
        <w:t xml:space="preserve"> </w:t>
      </w:r>
      <w:r>
        <w:t xml:space="preserve">all of which </w:t>
      </w:r>
      <w:r w:rsidR="00165D9B">
        <w:t xml:space="preserve">have </w:t>
      </w:r>
      <w:r>
        <w:t xml:space="preserve">increased equity participation. In addition, it is likely that part of the increase in the number of students with disability </w:t>
      </w:r>
      <w:r w:rsidR="0056438D">
        <w:t>has been</w:t>
      </w:r>
      <w:r>
        <w:t xml:space="preserve"> due to increases in self-reporting. While the trend in enrolments is encouraging, it serves to highlight the nature of the challenge in higher education, with a virtual doubling in student numbers over the past decade. </w:t>
      </w:r>
    </w:p>
    <w:p w14:paraId="0B4E7EEE" w14:textId="083363F8" w:rsidR="00894471" w:rsidRDefault="00894471" w:rsidP="005267D3">
      <w:r>
        <w:t xml:space="preserve">However, the true challenge in supporting students with disability in Australian higher education extends beyond domestic undergraduates, who have been the focus of equity policy in Australia since </w:t>
      </w:r>
      <w:r>
        <w:rPr>
          <w:i/>
        </w:rPr>
        <w:t>A Fair Chance for All</w:t>
      </w:r>
      <w:r>
        <w:t xml:space="preserve">. Extending the overview to postgraduate and international students provides a more complete picture of disability in Australian higher education. As Table 2 shows, approximately 5.1 per cent of all Australian higher education students nominate a disability. The most nominated category is </w:t>
      </w:r>
      <w:r w:rsidR="000E7B2E">
        <w:t>“</w:t>
      </w:r>
      <w:r>
        <w:t>Other Disability</w:t>
      </w:r>
      <w:r w:rsidR="000E7B2E">
        <w:t>”</w:t>
      </w:r>
      <w:r>
        <w:t xml:space="preserve">, selected by 43.5 per cent of those nominating a disability, with nomination of more than one category relatively common (indicated by a sum of category shares of almost 119 per cent). </w:t>
      </w:r>
    </w:p>
    <w:p w14:paraId="5D682B5A" w14:textId="77777777" w:rsidR="00894471" w:rsidRDefault="00894471" w:rsidP="005267D3">
      <w:pPr>
        <w:pStyle w:val="TableHeading"/>
      </w:pPr>
      <w:r w:rsidRPr="00555170">
        <w:t xml:space="preserve">Table </w:t>
      </w:r>
      <w:r>
        <w:t>2</w:t>
      </w:r>
      <w:r w:rsidRPr="00555170">
        <w:t xml:space="preserve">: </w:t>
      </w:r>
      <w:r>
        <w:t>Students with Disability, Domestic and Overseas Students, All Levels of Study, Australian Higher Education, Headcount</w:t>
      </w:r>
      <w:r w:rsidRPr="00555170">
        <w:t xml:space="preserve">, </w:t>
      </w:r>
      <w:r>
        <w:t xml:space="preserve">2018 </w:t>
      </w:r>
    </w:p>
    <w:tbl>
      <w:tblPr>
        <w:tblW w:w="8647" w:type="dxa"/>
        <w:tblLayout w:type="fixed"/>
        <w:tblLook w:val="04A0" w:firstRow="1" w:lastRow="0" w:firstColumn="1" w:lastColumn="0" w:noHBand="0" w:noVBand="1"/>
        <w:tblCaption w:val="Table 14"/>
        <w:tblDescription w:val="Student Equity Enrolments and Enrolment Shares, Table A and B Providers, 2013–18a "/>
      </w:tblPr>
      <w:tblGrid>
        <w:gridCol w:w="2410"/>
        <w:gridCol w:w="1559"/>
        <w:gridCol w:w="1559"/>
        <w:gridCol w:w="1559"/>
        <w:gridCol w:w="1560"/>
      </w:tblGrid>
      <w:tr w:rsidR="00894471" w:rsidRPr="003E1EBA" w14:paraId="21B744FC" w14:textId="77777777" w:rsidTr="00E977C7">
        <w:trPr>
          <w:trHeight w:hRule="exact" w:val="635"/>
        </w:trPr>
        <w:tc>
          <w:tcPr>
            <w:tcW w:w="2410" w:type="dxa"/>
            <w:tcBorders>
              <w:top w:val="nil"/>
              <w:left w:val="nil"/>
              <w:bottom w:val="single" w:sz="8" w:space="0" w:color="D9D9D9"/>
              <w:right w:val="single" w:sz="8" w:space="0" w:color="D9D9D9"/>
            </w:tcBorders>
            <w:shd w:val="clear" w:color="auto" w:fill="auto"/>
            <w:noWrap/>
            <w:vAlign w:val="center"/>
            <w:hideMark/>
          </w:tcPr>
          <w:p w14:paraId="0054130F" w14:textId="77777777" w:rsidR="00894471" w:rsidRPr="007E5837" w:rsidRDefault="00894471" w:rsidP="005267D3">
            <w:pPr>
              <w:rPr>
                <w:b/>
                <w:sz w:val="20"/>
                <w:szCs w:val="20"/>
                <w:lang w:eastAsia="en-AU"/>
              </w:rPr>
            </w:pPr>
            <w:r w:rsidRPr="007E5837">
              <w:rPr>
                <w:b/>
                <w:sz w:val="20"/>
                <w:szCs w:val="20"/>
                <w:lang w:eastAsia="en-AU"/>
              </w:rPr>
              <w:t> </w:t>
            </w:r>
          </w:p>
        </w:tc>
        <w:tc>
          <w:tcPr>
            <w:tcW w:w="1559"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346BE77D" w14:textId="77777777" w:rsidR="00894471" w:rsidRPr="00E977C7" w:rsidRDefault="00894471" w:rsidP="00E977C7">
            <w:pPr>
              <w:jc w:val="center"/>
              <w:rPr>
                <w:b/>
                <w:color w:val="FFFFFF" w:themeColor="background1"/>
                <w:sz w:val="20"/>
                <w:szCs w:val="20"/>
                <w:lang w:eastAsia="en-AU"/>
              </w:rPr>
            </w:pPr>
            <w:r w:rsidRPr="00E977C7">
              <w:rPr>
                <w:b/>
                <w:color w:val="FFFFFF" w:themeColor="background1"/>
                <w:sz w:val="20"/>
                <w:szCs w:val="20"/>
                <w:lang w:eastAsia="en-AU"/>
              </w:rPr>
              <w:t>Headcount</w:t>
            </w:r>
            <w:r w:rsidRPr="00E977C7">
              <w:rPr>
                <w:b/>
                <w:i/>
                <w:color w:val="FFFFFF" w:themeColor="background1"/>
                <w:sz w:val="20"/>
                <w:szCs w:val="20"/>
                <w:vertAlign w:val="superscript"/>
                <w:lang w:eastAsia="en-AU"/>
              </w:rPr>
              <w:t>1</w:t>
            </w:r>
          </w:p>
        </w:tc>
        <w:tc>
          <w:tcPr>
            <w:tcW w:w="1559"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2A9C735D" w14:textId="77777777" w:rsidR="00894471" w:rsidRPr="00E977C7" w:rsidRDefault="00894471" w:rsidP="00E977C7">
            <w:pPr>
              <w:jc w:val="center"/>
              <w:rPr>
                <w:b/>
                <w:color w:val="FFFFFF" w:themeColor="background1"/>
                <w:sz w:val="20"/>
                <w:szCs w:val="20"/>
                <w:lang w:eastAsia="en-AU"/>
              </w:rPr>
            </w:pPr>
            <w:r w:rsidRPr="00E977C7">
              <w:rPr>
                <w:b/>
                <w:color w:val="FFFFFF" w:themeColor="background1"/>
                <w:sz w:val="20"/>
                <w:szCs w:val="20"/>
                <w:lang w:eastAsia="en-AU"/>
              </w:rPr>
              <w:t>Share of All Students</w:t>
            </w:r>
            <w:r w:rsidRPr="00E977C7">
              <w:rPr>
                <w:b/>
                <w:i/>
                <w:color w:val="FFFFFF" w:themeColor="background1"/>
                <w:sz w:val="20"/>
                <w:szCs w:val="20"/>
                <w:vertAlign w:val="superscript"/>
                <w:lang w:eastAsia="en-AU"/>
              </w:rPr>
              <w:t>1</w:t>
            </w:r>
          </w:p>
        </w:tc>
        <w:tc>
          <w:tcPr>
            <w:tcW w:w="1559"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4F028D8D" w14:textId="77777777" w:rsidR="00894471" w:rsidRPr="00E977C7" w:rsidRDefault="00894471" w:rsidP="00E977C7">
            <w:pPr>
              <w:jc w:val="center"/>
              <w:rPr>
                <w:b/>
                <w:color w:val="FFFFFF" w:themeColor="background1"/>
                <w:sz w:val="20"/>
                <w:szCs w:val="20"/>
                <w:lang w:eastAsia="en-AU"/>
              </w:rPr>
            </w:pPr>
            <w:r w:rsidRPr="00E977C7">
              <w:rPr>
                <w:b/>
                <w:color w:val="FFFFFF" w:themeColor="background1"/>
                <w:sz w:val="20"/>
                <w:szCs w:val="20"/>
                <w:lang w:eastAsia="en-AU"/>
              </w:rPr>
              <w:t>Share of Disability</w:t>
            </w:r>
            <w:r w:rsidRPr="00E977C7">
              <w:rPr>
                <w:b/>
                <w:i/>
                <w:color w:val="FFFFFF" w:themeColor="background1"/>
                <w:sz w:val="20"/>
                <w:szCs w:val="20"/>
                <w:vertAlign w:val="superscript"/>
                <w:lang w:eastAsia="en-AU"/>
              </w:rPr>
              <w:t>1</w:t>
            </w:r>
          </w:p>
        </w:tc>
        <w:tc>
          <w:tcPr>
            <w:tcW w:w="1560" w:type="dxa"/>
            <w:tcBorders>
              <w:top w:val="single" w:sz="8" w:space="0" w:color="D9D9D9"/>
              <w:left w:val="single" w:sz="8" w:space="0" w:color="D9D9D9"/>
              <w:bottom w:val="single" w:sz="8" w:space="0" w:color="D9D9D9"/>
              <w:right w:val="single" w:sz="8" w:space="0" w:color="D9D9D9"/>
            </w:tcBorders>
            <w:shd w:val="clear" w:color="000000" w:fill="B58C0A"/>
            <w:vAlign w:val="center"/>
          </w:tcPr>
          <w:p w14:paraId="2FFD411A" w14:textId="20E84934" w:rsidR="00894471" w:rsidRPr="00E977C7" w:rsidRDefault="00894471" w:rsidP="00E977C7">
            <w:pPr>
              <w:jc w:val="center"/>
              <w:rPr>
                <w:b/>
                <w:color w:val="FFFFFF" w:themeColor="background1"/>
                <w:sz w:val="20"/>
                <w:szCs w:val="20"/>
                <w:lang w:eastAsia="en-AU"/>
              </w:rPr>
            </w:pPr>
            <w:r w:rsidRPr="00E977C7">
              <w:rPr>
                <w:b/>
                <w:color w:val="FFFFFF" w:themeColor="background1"/>
                <w:sz w:val="20"/>
                <w:szCs w:val="20"/>
                <w:lang w:eastAsia="en-AU"/>
              </w:rPr>
              <w:t>Need Support</w:t>
            </w:r>
          </w:p>
        </w:tc>
      </w:tr>
      <w:tr w:rsidR="00894471" w:rsidRPr="003E1EBA" w14:paraId="77B4553A"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FFF"/>
            <w:noWrap/>
            <w:vAlign w:val="center"/>
            <w:hideMark/>
          </w:tcPr>
          <w:p w14:paraId="0EDE366A" w14:textId="77777777" w:rsidR="00894471" w:rsidRPr="007E5837" w:rsidRDefault="00894471" w:rsidP="005267D3">
            <w:pPr>
              <w:rPr>
                <w:b/>
                <w:color w:val="000000"/>
                <w:sz w:val="20"/>
                <w:szCs w:val="20"/>
                <w:lang w:eastAsia="en-AU"/>
              </w:rPr>
            </w:pPr>
            <w:r w:rsidRPr="007E5837">
              <w:rPr>
                <w:b/>
                <w:sz w:val="20"/>
                <w:szCs w:val="20"/>
                <w:lang w:eastAsia="en-AU"/>
              </w:rPr>
              <w:t>All Students</w:t>
            </w:r>
          </w:p>
        </w:tc>
        <w:tc>
          <w:tcPr>
            <w:tcW w:w="1559" w:type="dxa"/>
            <w:tcBorders>
              <w:top w:val="nil"/>
              <w:left w:val="nil"/>
              <w:bottom w:val="single" w:sz="8" w:space="0" w:color="D9D9D9"/>
              <w:right w:val="single" w:sz="8" w:space="0" w:color="D9D9D9"/>
            </w:tcBorders>
            <w:shd w:val="clear" w:color="000000" w:fill="FFFFFF"/>
            <w:noWrap/>
            <w:vAlign w:val="center"/>
          </w:tcPr>
          <w:p w14:paraId="7DDA4331" w14:textId="77777777" w:rsidR="00894471" w:rsidRPr="007E5837" w:rsidRDefault="00894471" w:rsidP="00E977C7">
            <w:pPr>
              <w:jc w:val="right"/>
              <w:rPr>
                <w:rFonts w:cs="Arial"/>
                <w:b/>
                <w:sz w:val="20"/>
                <w:szCs w:val="20"/>
                <w:lang w:eastAsia="en-AU"/>
              </w:rPr>
            </w:pPr>
            <w:r w:rsidRPr="007E5837">
              <w:rPr>
                <w:b/>
                <w:sz w:val="20"/>
                <w:szCs w:val="20"/>
                <w:lang w:eastAsia="en-AU"/>
              </w:rPr>
              <w:t>1,562,520</w:t>
            </w:r>
          </w:p>
        </w:tc>
        <w:tc>
          <w:tcPr>
            <w:tcW w:w="1559" w:type="dxa"/>
            <w:tcBorders>
              <w:top w:val="nil"/>
              <w:left w:val="nil"/>
              <w:bottom w:val="single" w:sz="8" w:space="0" w:color="D9D9D9"/>
              <w:right w:val="single" w:sz="8" w:space="0" w:color="D9D9D9"/>
            </w:tcBorders>
            <w:shd w:val="clear" w:color="000000" w:fill="FFFFFF"/>
            <w:noWrap/>
            <w:vAlign w:val="center"/>
          </w:tcPr>
          <w:p w14:paraId="3950A1F7" w14:textId="77777777" w:rsidR="00894471" w:rsidRPr="007E5837" w:rsidRDefault="00894471" w:rsidP="00E977C7">
            <w:pPr>
              <w:jc w:val="right"/>
              <w:rPr>
                <w:b/>
                <w:sz w:val="20"/>
                <w:szCs w:val="20"/>
                <w:lang w:eastAsia="en-AU"/>
              </w:rPr>
            </w:pPr>
            <w:r w:rsidRPr="007E5837">
              <w:rPr>
                <w:b/>
                <w:sz w:val="20"/>
                <w:szCs w:val="20"/>
                <w:lang w:eastAsia="en-AU"/>
              </w:rPr>
              <w:t>100%</w:t>
            </w:r>
          </w:p>
        </w:tc>
        <w:tc>
          <w:tcPr>
            <w:tcW w:w="1559" w:type="dxa"/>
            <w:tcBorders>
              <w:top w:val="nil"/>
              <w:left w:val="nil"/>
              <w:bottom w:val="single" w:sz="8" w:space="0" w:color="D9D9D9"/>
              <w:right w:val="single" w:sz="8" w:space="0" w:color="D9D9D9"/>
            </w:tcBorders>
            <w:shd w:val="clear" w:color="000000" w:fill="FFFFFF"/>
            <w:noWrap/>
            <w:vAlign w:val="center"/>
          </w:tcPr>
          <w:p w14:paraId="6562619C" w14:textId="77777777" w:rsidR="00894471" w:rsidRPr="007E5837" w:rsidRDefault="00894471" w:rsidP="00E977C7">
            <w:pPr>
              <w:jc w:val="right"/>
              <w:rPr>
                <w:b/>
                <w:sz w:val="20"/>
                <w:szCs w:val="20"/>
                <w:lang w:eastAsia="en-AU"/>
              </w:rPr>
            </w:pPr>
            <w:r w:rsidRPr="007E5837">
              <w:rPr>
                <w:b/>
                <w:sz w:val="20"/>
                <w:szCs w:val="20"/>
                <w:lang w:eastAsia="en-AU"/>
              </w:rPr>
              <w:t>-</w:t>
            </w:r>
          </w:p>
        </w:tc>
        <w:tc>
          <w:tcPr>
            <w:tcW w:w="1560" w:type="dxa"/>
            <w:tcBorders>
              <w:top w:val="nil"/>
              <w:left w:val="nil"/>
              <w:bottom w:val="single" w:sz="8" w:space="0" w:color="D9D9D9"/>
              <w:right w:val="single" w:sz="8" w:space="0" w:color="D9D9D9"/>
            </w:tcBorders>
            <w:shd w:val="clear" w:color="000000" w:fill="FFFFFF"/>
            <w:vAlign w:val="center"/>
          </w:tcPr>
          <w:p w14:paraId="0A47988F" w14:textId="77777777" w:rsidR="00894471" w:rsidRPr="007E5837" w:rsidRDefault="00894471" w:rsidP="00E977C7">
            <w:pPr>
              <w:jc w:val="right"/>
              <w:rPr>
                <w:b/>
                <w:sz w:val="20"/>
                <w:szCs w:val="20"/>
                <w:lang w:eastAsia="en-AU"/>
              </w:rPr>
            </w:pPr>
            <w:r w:rsidRPr="007E5837">
              <w:rPr>
                <w:b/>
                <w:sz w:val="20"/>
                <w:szCs w:val="20"/>
                <w:lang w:eastAsia="en-AU"/>
              </w:rPr>
              <w:t>-</w:t>
            </w:r>
          </w:p>
        </w:tc>
      </w:tr>
      <w:tr w:rsidR="00894471" w:rsidRPr="003E1EBA" w14:paraId="5770F9FA"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6E0"/>
            <w:noWrap/>
            <w:vAlign w:val="center"/>
            <w:hideMark/>
          </w:tcPr>
          <w:p w14:paraId="5C368383" w14:textId="77777777" w:rsidR="00894471" w:rsidRPr="00387739" w:rsidRDefault="00894471" w:rsidP="005267D3">
            <w:pPr>
              <w:rPr>
                <w:sz w:val="20"/>
                <w:szCs w:val="20"/>
                <w:lang w:eastAsia="en-AU"/>
              </w:rPr>
            </w:pPr>
          </w:p>
        </w:tc>
        <w:tc>
          <w:tcPr>
            <w:tcW w:w="1559" w:type="dxa"/>
            <w:tcBorders>
              <w:top w:val="nil"/>
              <w:left w:val="nil"/>
              <w:bottom w:val="single" w:sz="8" w:space="0" w:color="D9D9D9"/>
              <w:right w:val="single" w:sz="8" w:space="0" w:color="D9D9D9"/>
            </w:tcBorders>
            <w:shd w:val="clear" w:color="000000" w:fill="FFF6E0"/>
            <w:noWrap/>
            <w:vAlign w:val="center"/>
          </w:tcPr>
          <w:p w14:paraId="326012BB" w14:textId="05D310DE" w:rsidR="00894471" w:rsidRPr="00387739" w:rsidRDefault="005C2190" w:rsidP="00E977C7">
            <w:pPr>
              <w:jc w:val="right"/>
              <w:rPr>
                <w:sz w:val="20"/>
                <w:szCs w:val="20"/>
                <w:lang w:eastAsia="en-AU"/>
              </w:rPr>
            </w:pPr>
            <w:r w:rsidRPr="00387739">
              <w:rPr>
                <w:sz w:val="20"/>
                <w:szCs w:val="20"/>
                <w:lang w:eastAsia="en-AU"/>
              </w:rPr>
              <w:t>N</w:t>
            </w:r>
            <w:r w:rsidRPr="00387739">
              <w:rPr>
                <w:b/>
                <w:sz w:val="20"/>
                <w:szCs w:val="20"/>
                <w:vertAlign w:val="superscript"/>
                <w:lang w:eastAsia="en-AU"/>
              </w:rPr>
              <w:t>o</w:t>
            </w:r>
          </w:p>
        </w:tc>
        <w:tc>
          <w:tcPr>
            <w:tcW w:w="1559" w:type="dxa"/>
            <w:tcBorders>
              <w:top w:val="nil"/>
              <w:left w:val="nil"/>
              <w:bottom w:val="single" w:sz="8" w:space="0" w:color="D9D9D9"/>
              <w:right w:val="single" w:sz="8" w:space="0" w:color="D9D9D9"/>
            </w:tcBorders>
            <w:shd w:val="clear" w:color="000000" w:fill="FFF6E0"/>
            <w:noWrap/>
            <w:vAlign w:val="center"/>
          </w:tcPr>
          <w:p w14:paraId="2ABB571E" w14:textId="664BB0DD" w:rsidR="00894471" w:rsidRPr="00387739" w:rsidRDefault="005C2190" w:rsidP="00E977C7">
            <w:pPr>
              <w:jc w:val="right"/>
              <w:rPr>
                <w:sz w:val="20"/>
                <w:szCs w:val="20"/>
                <w:lang w:eastAsia="en-AU"/>
              </w:rPr>
            </w:pPr>
            <w:r w:rsidRPr="00387739">
              <w:rPr>
                <w:sz w:val="20"/>
                <w:szCs w:val="20"/>
                <w:lang w:eastAsia="en-AU"/>
              </w:rPr>
              <w:t>%</w:t>
            </w:r>
          </w:p>
        </w:tc>
        <w:tc>
          <w:tcPr>
            <w:tcW w:w="1559" w:type="dxa"/>
            <w:tcBorders>
              <w:top w:val="nil"/>
              <w:left w:val="nil"/>
              <w:bottom w:val="single" w:sz="8" w:space="0" w:color="D9D9D9"/>
              <w:right w:val="single" w:sz="8" w:space="0" w:color="D9D9D9"/>
            </w:tcBorders>
            <w:shd w:val="clear" w:color="000000" w:fill="FFF6E0"/>
            <w:noWrap/>
            <w:vAlign w:val="center"/>
          </w:tcPr>
          <w:p w14:paraId="7009E2CD" w14:textId="2EA30D49" w:rsidR="00894471" w:rsidRPr="00387739" w:rsidRDefault="005C2190" w:rsidP="00E977C7">
            <w:pPr>
              <w:jc w:val="right"/>
              <w:rPr>
                <w:sz w:val="20"/>
                <w:szCs w:val="20"/>
                <w:lang w:eastAsia="en-AU"/>
              </w:rPr>
            </w:pPr>
            <w:r w:rsidRPr="00387739">
              <w:rPr>
                <w:sz w:val="20"/>
                <w:szCs w:val="20"/>
                <w:lang w:eastAsia="en-AU"/>
              </w:rPr>
              <w:t>%</w:t>
            </w:r>
          </w:p>
        </w:tc>
        <w:tc>
          <w:tcPr>
            <w:tcW w:w="1560" w:type="dxa"/>
            <w:tcBorders>
              <w:top w:val="nil"/>
              <w:left w:val="nil"/>
              <w:bottom w:val="single" w:sz="8" w:space="0" w:color="D9D9D9"/>
              <w:right w:val="single" w:sz="8" w:space="0" w:color="D9D9D9"/>
            </w:tcBorders>
            <w:shd w:val="clear" w:color="000000" w:fill="FFF6E0"/>
            <w:vAlign w:val="center"/>
          </w:tcPr>
          <w:p w14:paraId="464EC88F" w14:textId="1B9B5CE2" w:rsidR="00894471" w:rsidRPr="00387739" w:rsidRDefault="005C2190" w:rsidP="00E977C7">
            <w:pPr>
              <w:jc w:val="right"/>
              <w:rPr>
                <w:sz w:val="20"/>
                <w:szCs w:val="20"/>
                <w:lang w:eastAsia="en-AU"/>
              </w:rPr>
            </w:pPr>
            <w:r w:rsidRPr="00387739">
              <w:rPr>
                <w:sz w:val="20"/>
                <w:szCs w:val="20"/>
                <w:lang w:eastAsia="en-AU"/>
              </w:rPr>
              <w:t>%</w:t>
            </w:r>
          </w:p>
        </w:tc>
      </w:tr>
      <w:tr w:rsidR="00894471" w:rsidRPr="003E1EBA" w14:paraId="67A6A7FA"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FFF"/>
            <w:noWrap/>
            <w:vAlign w:val="center"/>
            <w:hideMark/>
          </w:tcPr>
          <w:p w14:paraId="2432D878" w14:textId="77777777" w:rsidR="00894471" w:rsidRPr="00207C67" w:rsidRDefault="00894471" w:rsidP="005267D3">
            <w:pPr>
              <w:rPr>
                <w:i/>
                <w:iCs/>
                <w:color w:val="000000"/>
                <w:sz w:val="20"/>
                <w:szCs w:val="20"/>
                <w:lang w:eastAsia="en-AU"/>
              </w:rPr>
            </w:pPr>
            <w:r w:rsidRPr="00207C67">
              <w:rPr>
                <w:i/>
                <w:sz w:val="20"/>
                <w:szCs w:val="20"/>
                <w:lang w:eastAsia="en-AU"/>
              </w:rPr>
              <w:t>Students with Disability</w:t>
            </w:r>
            <w:r w:rsidRPr="00207C67">
              <w:rPr>
                <w:i/>
                <w:sz w:val="20"/>
                <w:szCs w:val="20"/>
                <w:vertAlign w:val="superscript"/>
                <w:lang w:eastAsia="en-AU"/>
              </w:rPr>
              <w:t>1</w:t>
            </w:r>
          </w:p>
        </w:tc>
        <w:tc>
          <w:tcPr>
            <w:tcW w:w="1559" w:type="dxa"/>
            <w:tcBorders>
              <w:top w:val="nil"/>
              <w:left w:val="nil"/>
              <w:bottom w:val="single" w:sz="8" w:space="0" w:color="D9D9D9"/>
              <w:right w:val="single" w:sz="8" w:space="0" w:color="D9D9D9"/>
            </w:tcBorders>
            <w:shd w:val="clear" w:color="000000" w:fill="FFFFFF"/>
            <w:noWrap/>
            <w:vAlign w:val="center"/>
          </w:tcPr>
          <w:p w14:paraId="4DA7359B" w14:textId="77777777" w:rsidR="00894471" w:rsidRPr="00207C67" w:rsidRDefault="00894471" w:rsidP="00E977C7">
            <w:pPr>
              <w:jc w:val="right"/>
              <w:rPr>
                <w:rFonts w:cs="Arial"/>
                <w:i/>
                <w:iCs/>
                <w:sz w:val="20"/>
                <w:szCs w:val="20"/>
                <w:lang w:eastAsia="en-AU"/>
              </w:rPr>
            </w:pPr>
            <w:r w:rsidRPr="00207C67">
              <w:rPr>
                <w:i/>
                <w:sz w:val="20"/>
                <w:szCs w:val="20"/>
                <w:lang w:eastAsia="en-AU"/>
              </w:rPr>
              <w:t>79,404</w:t>
            </w:r>
          </w:p>
        </w:tc>
        <w:tc>
          <w:tcPr>
            <w:tcW w:w="1559" w:type="dxa"/>
            <w:tcBorders>
              <w:top w:val="nil"/>
              <w:left w:val="nil"/>
              <w:bottom w:val="single" w:sz="8" w:space="0" w:color="D9D9D9"/>
              <w:right w:val="single" w:sz="8" w:space="0" w:color="D9D9D9"/>
            </w:tcBorders>
            <w:shd w:val="clear" w:color="000000" w:fill="FFFFFF"/>
            <w:noWrap/>
            <w:vAlign w:val="bottom"/>
          </w:tcPr>
          <w:p w14:paraId="22C05620" w14:textId="40210C4F" w:rsidR="00894471" w:rsidRPr="00207C67" w:rsidRDefault="00894471" w:rsidP="00E977C7">
            <w:pPr>
              <w:jc w:val="right"/>
              <w:rPr>
                <w:rFonts w:cs="Arial"/>
                <w:i/>
                <w:iCs/>
                <w:sz w:val="20"/>
                <w:szCs w:val="20"/>
                <w:lang w:eastAsia="en-AU"/>
              </w:rPr>
            </w:pPr>
            <w:r w:rsidRPr="00207C67">
              <w:rPr>
                <w:i/>
                <w:sz w:val="20"/>
                <w:szCs w:val="20"/>
                <w:lang w:eastAsia="en-AU"/>
              </w:rPr>
              <w:t>5.1</w:t>
            </w:r>
          </w:p>
        </w:tc>
        <w:tc>
          <w:tcPr>
            <w:tcW w:w="1559" w:type="dxa"/>
            <w:tcBorders>
              <w:top w:val="nil"/>
              <w:left w:val="nil"/>
              <w:bottom w:val="single" w:sz="8" w:space="0" w:color="D9D9D9"/>
              <w:right w:val="single" w:sz="8" w:space="0" w:color="D9D9D9"/>
            </w:tcBorders>
            <w:shd w:val="clear" w:color="000000" w:fill="FFFFFF"/>
            <w:noWrap/>
            <w:vAlign w:val="bottom"/>
          </w:tcPr>
          <w:p w14:paraId="47B4C2CC" w14:textId="4EE21933" w:rsidR="00894471" w:rsidRPr="00207C67" w:rsidRDefault="00894471" w:rsidP="00E977C7">
            <w:pPr>
              <w:jc w:val="right"/>
              <w:rPr>
                <w:rFonts w:cs="Arial"/>
                <w:i/>
                <w:iCs/>
                <w:sz w:val="20"/>
                <w:szCs w:val="20"/>
                <w:lang w:eastAsia="en-AU"/>
              </w:rPr>
            </w:pPr>
            <w:r w:rsidRPr="00207C67">
              <w:rPr>
                <w:i/>
                <w:sz w:val="20"/>
                <w:szCs w:val="20"/>
                <w:lang w:eastAsia="en-AU"/>
              </w:rPr>
              <w:t>100.0</w:t>
            </w:r>
          </w:p>
        </w:tc>
        <w:tc>
          <w:tcPr>
            <w:tcW w:w="1560" w:type="dxa"/>
            <w:tcBorders>
              <w:top w:val="nil"/>
              <w:left w:val="nil"/>
              <w:bottom w:val="single" w:sz="8" w:space="0" w:color="D9D9D9"/>
              <w:right w:val="single" w:sz="8" w:space="0" w:color="D9D9D9"/>
            </w:tcBorders>
            <w:shd w:val="clear" w:color="000000" w:fill="FFFFFF"/>
            <w:vAlign w:val="bottom"/>
          </w:tcPr>
          <w:p w14:paraId="7CA1D649" w14:textId="52EDA5F3" w:rsidR="00894471" w:rsidRPr="00207C67" w:rsidRDefault="00894471" w:rsidP="00E977C7">
            <w:pPr>
              <w:jc w:val="right"/>
              <w:rPr>
                <w:rFonts w:cs="Arial"/>
                <w:i/>
                <w:iCs/>
                <w:sz w:val="20"/>
                <w:szCs w:val="20"/>
                <w:lang w:eastAsia="en-AU"/>
              </w:rPr>
            </w:pPr>
            <w:r w:rsidRPr="00207C67">
              <w:rPr>
                <w:i/>
                <w:sz w:val="20"/>
                <w:szCs w:val="20"/>
                <w:lang w:eastAsia="en-AU"/>
              </w:rPr>
              <w:t>52.9</w:t>
            </w:r>
          </w:p>
        </w:tc>
      </w:tr>
      <w:tr w:rsidR="00894471" w:rsidRPr="003E1EBA" w14:paraId="5C8E8735"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6E0"/>
            <w:noWrap/>
            <w:hideMark/>
          </w:tcPr>
          <w:p w14:paraId="7F870C97" w14:textId="77777777" w:rsidR="00894471" w:rsidRPr="00387739" w:rsidRDefault="00894471" w:rsidP="005267D3">
            <w:pPr>
              <w:rPr>
                <w:color w:val="000000"/>
                <w:sz w:val="20"/>
                <w:szCs w:val="20"/>
                <w:lang w:eastAsia="en-AU"/>
              </w:rPr>
            </w:pPr>
            <w:r w:rsidRPr="00387739">
              <w:rPr>
                <w:sz w:val="20"/>
                <w:szCs w:val="20"/>
                <w:lang w:eastAsia="en-AU"/>
              </w:rPr>
              <w:t>Hearing</w:t>
            </w:r>
          </w:p>
        </w:tc>
        <w:tc>
          <w:tcPr>
            <w:tcW w:w="1559" w:type="dxa"/>
            <w:tcBorders>
              <w:top w:val="nil"/>
              <w:left w:val="nil"/>
              <w:bottom w:val="single" w:sz="8" w:space="0" w:color="D9D9D9"/>
              <w:right w:val="single" w:sz="8" w:space="0" w:color="D9D9D9"/>
            </w:tcBorders>
            <w:shd w:val="clear" w:color="000000" w:fill="FFF6E0"/>
            <w:noWrap/>
            <w:vAlign w:val="bottom"/>
          </w:tcPr>
          <w:p w14:paraId="7AFAF6D6" w14:textId="77777777" w:rsidR="00894471" w:rsidRPr="00387739" w:rsidRDefault="00894471" w:rsidP="00E977C7">
            <w:pPr>
              <w:jc w:val="right"/>
              <w:rPr>
                <w:rFonts w:cs="Arial"/>
                <w:sz w:val="20"/>
                <w:szCs w:val="20"/>
                <w:lang w:eastAsia="en-AU"/>
              </w:rPr>
            </w:pPr>
            <w:r w:rsidRPr="00387739">
              <w:rPr>
                <w:sz w:val="20"/>
                <w:szCs w:val="20"/>
                <w:lang w:eastAsia="en-AU"/>
              </w:rPr>
              <w:t>4,627</w:t>
            </w:r>
          </w:p>
        </w:tc>
        <w:tc>
          <w:tcPr>
            <w:tcW w:w="1559" w:type="dxa"/>
            <w:tcBorders>
              <w:top w:val="nil"/>
              <w:left w:val="nil"/>
              <w:bottom w:val="single" w:sz="8" w:space="0" w:color="D9D9D9"/>
              <w:right w:val="single" w:sz="8" w:space="0" w:color="D9D9D9"/>
            </w:tcBorders>
            <w:shd w:val="clear" w:color="000000" w:fill="FFF6E0"/>
            <w:noWrap/>
            <w:vAlign w:val="bottom"/>
          </w:tcPr>
          <w:p w14:paraId="08DC64DC" w14:textId="02042EC0" w:rsidR="00894471" w:rsidRPr="00387739" w:rsidRDefault="00894471" w:rsidP="00E977C7">
            <w:pPr>
              <w:jc w:val="right"/>
              <w:rPr>
                <w:rFonts w:cs="Arial"/>
                <w:sz w:val="20"/>
                <w:szCs w:val="20"/>
                <w:lang w:eastAsia="en-AU"/>
              </w:rPr>
            </w:pPr>
            <w:r w:rsidRPr="00387739">
              <w:rPr>
                <w:sz w:val="20"/>
                <w:szCs w:val="20"/>
                <w:lang w:eastAsia="en-AU"/>
              </w:rPr>
              <w:t>0.3</w:t>
            </w:r>
          </w:p>
        </w:tc>
        <w:tc>
          <w:tcPr>
            <w:tcW w:w="1559" w:type="dxa"/>
            <w:tcBorders>
              <w:top w:val="nil"/>
              <w:left w:val="nil"/>
              <w:bottom w:val="single" w:sz="8" w:space="0" w:color="D9D9D9"/>
              <w:right w:val="single" w:sz="8" w:space="0" w:color="D9D9D9"/>
            </w:tcBorders>
            <w:shd w:val="clear" w:color="000000" w:fill="FFF6E0"/>
            <w:noWrap/>
            <w:vAlign w:val="bottom"/>
          </w:tcPr>
          <w:p w14:paraId="0A15FBCE" w14:textId="75823C8F" w:rsidR="00894471" w:rsidRPr="00387739" w:rsidRDefault="00894471" w:rsidP="00E977C7">
            <w:pPr>
              <w:jc w:val="right"/>
              <w:rPr>
                <w:rFonts w:cs="Arial"/>
                <w:sz w:val="20"/>
                <w:szCs w:val="20"/>
                <w:lang w:eastAsia="en-AU"/>
              </w:rPr>
            </w:pPr>
            <w:r w:rsidRPr="00387739">
              <w:rPr>
                <w:sz w:val="20"/>
                <w:szCs w:val="20"/>
                <w:lang w:eastAsia="en-AU"/>
              </w:rPr>
              <w:t>5.8</w:t>
            </w:r>
          </w:p>
        </w:tc>
        <w:tc>
          <w:tcPr>
            <w:tcW w:w="1560" w:type="dxa"/>
            <w:tcBorders>
              <w:top w:val="nil"/>
              <w:left w:val="nil"/>
              <w:bottom w:val="single" w:sz="8" w:space="0" w:color="D9D9D9"/>
              <w:right w:val="single" w:sz="8" w:space="0" w:color="D9D9D9"/>
            </w:tcBorders>
            <w:shd w:val="clear" w:color="000000" w:fill="FFF6E0"/>
            <w:vAlign w:val="bottom"/>
          </w:tcPr>
          <w:p w14:paraId="0869C3F0" w14:textId="205A3EBA" w:rsidR="00894471" w:rsidRPr="00387739" w:rsidRDefault="00894471" w:rsidP="00E977C7">
            <w:pPr>
              <w:jc w:val="right"/>
              <w:rPr>
                <w:rFonts w:cs="Arial"/>
                <w:sz w:val="20"/>
                <w:szCs w:val="20"/>
                <w:lang w:eastAsia="en-AU"/>
              </w:rPr>
            </w:pPr>
            <w:r w:rsidRPr="00387739">
              <w:rPr>
                <w:sz w:val="20"/>
                <w:szCs w:val="20"/>
                <w:lang w:eastAsia="en-AU"/>
              </w:rPr>
              <w:t>48.7</w:t>
            </w:r>
          </w:p>
        </w:tc>
      </w:tr>
      <w:tr w:rsidR="00894471" w:rsidRPr="003E1EBA" w14:paraId="68695D46"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FFF"/>
            <w:noWrap/>
          </w:tcPr>
          <w:p w14:paraId="62E5DEDC" w14:textId="77777777" w:rsidR="00894471" w:rsidRPr="00387739" w:rsidRDefault="00894471" w:rsidP="005267D3">
            <w:pPr>
              <w:rPr>
                <w:color w:val="000000"/>
                <w:sz w:val="20"/>
                <w:szCs w:val="20"/>
                <w:lang w:eastAsia="en-AU"/>
              </w:rPr>
            </w:pPr>
            <w:r w:rsidRPr="00387739">
              <w:rPr>
                <w:sz w:val="20"/>
                <w:szCs w:val="20"/>
                <w:lang w:eastAsia="en-AU"/>
              </w:rPr>
              <w:t>Learning</w:t>
            </w:r>
          </w:p>
        </w:tc>
        <w:tc>
          <w:tcPr>
            <w:tcW w:w="1559" w:type="dxa"/>
            <w:tcBorders>
              <w:top w:val="nil"/>
              <w:left w:val="nil"/>
              <w:bottom w:val="single" w:sz="8" w:space="0" w:color="D9D9D9"/>
              <w:right w:val="single" w:sz="8" w:space="0" w:color="D9D9D9"/>
            </w:tcBorders>
            <w:shd w:val="clear" w:color="000000" w:fill="FFFFFF"/>
            <w:noWrap/>
            <w:vAlign w:val="bottom"/>
          </w:tcPr>
          <w:p w14:paraId="27A37943" w14:textId="77777777" w:rsidR="00894471" w:rsidRPr="00387739" w:rsidRDefault="00894471" w:rsidP="00E977C7">
            <w:pPr>
              <w:jc w:val="right"/>
              <w:rPr>
                <w:rFonts w:cs="Arial"/>
                <w:sz w:val="20"/>
                <w:szCs w:val="20"/>
                <w:lang w:eastAsia="en-AU"/>
              </w:rPr>
            </w:pPr>
            <w:r w:rsidRPr="00387739">
              <w:rPr>
                <w:sz w:val="20"/>
                <w:szCs w:val="20"/>
                <w:lang w:eastAsia="en-AU"/>
              </w:rPr>
              <w:t>11,440</w:t>
            </w:r>
          </w:p>
        </w:tc>
        <w:tc>
          <w:tcPr>
            <w:tcW w:w="1559" w:type="dxa"/>
            <w:tcBorders>
              <w:top w:val="nil"/>
              <w:left w:val="nil"/>
              <w:bottom w:val="single" w:sz="8" w:space="0" w:color="D9D9D9"/>
              <w:right w:val="single" w:sz="8" w:space="0" w:color="D9D9D9"/>
            </w:tcBorders>
            <w:shd w:val="clear" w:color="000000" w:fill="FFFFFF"/>
            <w:noWrap/>
            <w:vAlign w:val="bottom"/>
          </w:tcPr>
          <w:p w14:paraId="456FC2ED" w14:textId="41252B07" w:rsidR="00894471" w:rsidRPr="00387739" w:rsidRDefault="00894471" w:rsidP="00E977C7">
            <w:pPr>
              <w:jc w:val="right"/>
              <w:rPr>
                <w:rFonts w:cs="Arial"/>
                <w:sz w:val="20"/>
                <w:szCs w:val="20"/>
                <w:lang w:eastAsia="en-AU"/>
              </w:rPr>
            </w:pPr>
            <w:r w:rsidRPr="00387739">
              <w:rPr>
                <w:sz w:val="20"/>
                <w:szCs w:val="20"/>
                <w:lang w:eastAsia="en-AU"/>
              </w:rPr>
              <w:t>0.7</w:t>
            </w:r>
          </w:p>
        </w:tc>
        <w:tc>
          <w:tcPr>
            <w:tcW w:w="1559" w:type="dxa"/>
            <w:tcBorders>
              <w:top w:val="nil"/>
              <w:left w:val="nil"/>
              <w:bottom w:val="single" w:sz="8" w:space="0" w:color="D9D9D9"/>
              <w:right w:val="single" w:sz="8" w:space="0" w:color="D9D9D9"/>
            </w:tcBorders>
            <w:shd w:val="clear" w:color="000000" w:fill="FFFFFF"/>
            <w:noWrap/>
            <w:vAlign w:val="bottom"/>
          </w:tcPr>
          <w:p w14:paraId="6B95D1CA" w14:textId="49F093FE" w:rsidR="00894471" w:rsidRPr="00387739" w:rsidRDefault="00894471" w:rsidP="00E977C7">
            <w:pPr>
              <w:jc w:val="right"/>
              <w:rPr>
                <w:rFonts w:cs="Arial"/>
                <w:sz w:val="20"/>
                <w:szCs w:val="20"/>
                <w:lang w:eastAsia="en-AU"/>
              </w:rPr>
            </w:pPr>
            <w:r w:rsidRPr="00387739">
              <w:rPr>
                <w:sz w:val="20"/>
                <w:szCs w:val="20"/>
                <w:lang w:eastAsia="en-AU"/>
              </w:rPr>
              <w:t>14.4</w:t>
            </w:r>
          </w:p>
        </w:tc>
        <w:tc>
          <w:tcPr>
            <w:tcW w:w="1560" w:type="dxa"/>
            <w:tcBorders>
              <w:top w:val="nil"/>
              <w:left w:val="nil"/>
              <w:bottom w:val="single" w:sz="8" w:space="0" w:color="D9D9D9"/>
              <w:right w:val="single" w:sz="8" w:space="0" w:color="D9D9D9"/>
            </w:tcBorders>
            <w:shd w:val="clear" w:color="000000" w:fill="FFFFFF"/>
            <w:vAlign w:val="bottom"/>
          </w:tcPr>
          <w:p w14:paraId="6D9E2E76" w14:textId="2D6A590E" w:rsidR="00894471" w:rsidRPr="00387739" w:rsidRDefault="00894471" w:rsidP="00E977C7">
            <w:pPr>
              <w:jc w:val="right"/>
              <w:rPr>
                <w:rFonts w:cs="Arial"/>
                <w:sz w:val="20"/>
                <w:szCs w:val="20"/>
                <w:lang w:eastAsia="en-AU"/>
              </w:rPr>
            </w:pPr>
            <w:r w:rsidRPr="00387739">
              <w:rPr>
                <w:sz w:val="20"/>
                <w:szCs w:val="20"/>
                <w:lang w:eastAsia="en-AU"/>
              </w:rPr>
              <w:t>70.2</w:t>
            </w:r>
          </w:p>
        </w:tc>
      </w:tr>
      <w:tr w:rsidR="00894471" w:rsidRPr="003E1EBA" w14:paraId="228EB9EC"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6E0"/>
            <w:noWrap/>
          </w:tcPr>
          <w:p w14:paraId="2D2C42BD" w14:textId="77777777" w:rsidR="00894471" w:rsidRPr="00387739" w:rsidRDefault="00894471" w:rsidP="005267D3">
            <w:pPr>
              <w:rPr>
                <w:color w:val="000000"/>
                <w:sz w:val="20"/>
                <w:szCs w:val="20"/>
                <w:lang w:eastAsia="en-AU"/>
              </w:rPr>
            </w:pPr>
            <w:r w:rsidRPr="00387739">
              <w:rPr>
                <w:sz w:val="20"/>
                <w:szCs w:val="20"/>
                <w:lang w:eastAsia="en-AU"/>
              </w:rPr>
              <w:t>Mobility</w:t>
            </w:r>
          </w:p>
        </w:tc>
        <w:tc>
          <w:tcPr>
            <w:tcW w:w="1559" w:type="dxa"/>
            <w:tcBorders>
              <w:top w:val="nil"/>
              <w:left w:val="nil"/>
              <w:bottom w:val="single" w:sz="8" w:space="0" w:color="D9D9D9"/>
              <w:right w:val="single" w:sz="8" w:space="0" w:color="D9D9D9"/>
            </w:tcBorders>
            <w:shd w:val="clear" w:color="000000" w:fill="FFF6E0"/>
            <w:noWrap/>
            <w:vAlign w:val="bottom"/>
          </w:tcPr>
          <w:p w14:paraId="16090D40" w14:textId="77777777" w:rsidR="00894471" w:rsidRPr="00387739" w:rsidRDefault="00894471" w:rsidP="00E977C7">
            <w:pPr>
              <w:jc w:val="right"/>
              <w:rPr>
                <w:rFonts w:cs="Arial"/>
                <w:sz w:val="20"/>
                <w:szCs w:val="20"/>
                <w:lang w:eastAsia="en-AU"/>
              </w:rPr>
            </w:pPr>
            <w:r w:rsidRPr="00387739">
              <w:rPr>
                <w:sz w:val="20"/>
                <w:szCs w:val="20"/>
                <w:lang w:eastAsia="en-AU"/>
              </w:rPr>
              <w:t>5,716</w:t>
            </w:r>
          </w:p>
        </w:tc>
        <w:tc>
          <w:tcPr>
            <w:tcW w:w="1559" w:type="dxa"/>
            <w:tcBorders>
              <w:top w:val="nil"/>
              <w:left w:val="nil"/>
              <w:bottom w:val="single" w:sz="8" w:space="0" w:color="D9D9D9"/>
              <w:right w:val="single" w:sz="8" w:space="0" w:color="D9D9D9"/>
            </w:tcBorders>
            <w:shd w:val="clear" w:color="000000" w:fill="FFF6E0"/>
            <w:noWrap/>
            <w:vAlign w:val="bottom"/>
          </w:tcPr>
          <w:p w14:paraId="744E19C0" w14:textId="63E7497F" w:rsidR="00894471" w:rsidRPr="00387739" w:rsidRDefault="00894471" w:rsidP="00E977C7">
            <w:pPr>
              <w:jc w:val="right"/>
              <w:rPr>
                <w:rFonts w:cs="Arial"/>
                <w:sz w:val="20"/>
                <w:szCs w:val="20"/>
                <w:lang w:eastAsia="en-AU"/>
              </w:rPr>
            </w:pPr>
            <w:r w:rsidRPr="00387739">
              <w:rPr>
                <w:sz w:val="20"/>
                <w:szCs w:val="20"/>
                <w:lang w:eastAsia="en-AU"/>
              </w:rPr>
              <w:t>0.4</w:t>
            </w:r>
          </w:p>
        </w:tc>
        <w:tc>
          <w:tcPr>
            <w:tcW w:w="1559" w:type="dxa"/>
            <w:tcBorders>
              <w:top w:val="nil"/>
              <w:left w:val="nil"/>
              <w:bottom w:val="single" w:sz="8" w:space="0" w:color="D9D9D9"/>
              <w:right w:val="single" w:sz="8" w:space="0" w:color="D9D9D9"/>
            </w:tcBorders>
            <w:shd w:val="clear" w:color="000000" w:fill="FFF6E0"/>
            <w:noWrap/>
            <w:vAlign w:val="bottom"/>
          </w:tcPr>
          <w:p w14:paraId="733EE238" w14:textId="3AFB7E0E" w:rsidR="00894471" w:rsidRPr="00387739" w:rsidRDefault="00894471" w:rsidP="00E977C7">
            <w:pPr>
              <w:jc w:val="right"/>
              <w:rPr>
                <w:rFonts w:cs="Arial"/>
                <w:sz w:val="20"/>
                <w:szCs w:val="20"/>
                <w:lang w:eastAsia="en-AU"/>
              </w:rPr>
            </w:pPr>
            <w:r w:rsidRPr="00387739">
              <w:rPr>
                <w:sz w:val="20"/>
                <w:szCs w:val="20"/>
                <w:lang w:eastAsia="en-AU"/>
              </w:rPr>
              <w:t>7.2</w:t>
            </w:r>
          </w:p>
        </w:tc>
        <w:tc>
          <w:tcPr>
            <w:tcW w:w="1560" w:type="dxa"/>
            <w:tcBorders>
              <w:top w:val="nil"/>
              <w:left w:val="nil"/>
              <w:bottom w:val="single" w:sz="8" w:space="0" w:color="D9D9D9"/>
              <w:right w:val="single" w:sz="8" w:space="0" w:color="D9D9D9"/>
            </w:tcBorders>
            <w:shd w:val="clear" w:color="000000" w:fill="FFF6E0"/>
            <w:vAlign w:val="bottom"/>
          </w:tcPr>
          <w:p w14:paraId="4E7967C4" w14:textId="5D1FAEA9" w:rsidR="00894471" w:rsidRPr="00387739" w:rsidRDefault="00894471" w:rsidP="00E977C7">
            <w:pPr>
              <w:jc w:val="right"/>
              <w:rPr>
                <w:rFonts w:cs="Arial"/>
                <w:sz w:val="20"/>
                <w:szCs w:val="20"/>
                <w:lang w:eastAsia="en-AU"/>
              </w:rPr>
            </w:pPr>
            <w:r w:rsidRPr="00387739">
              <w:rPr>
                <w:sz w:val="20"/>
                <w:szCs w:val="20"/>
                <w:lang w:eastAsia="en-AU"/>
              </w:rPr>
              <w:t>60.8</w:t>
            </w:r>
          </w:p>
        </w:tc>
      </w:tr>
      <w:tr w:rsidR="00894471" w:rsidRPr="003E1EBA" w14:paraId="526F0A4B"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FFF"/>
            <w:noWrap/>
          </w:tcPr>
          <w:p w14:paraId="587F65E7" w14:textId="77777777" w:rsidR="00894471" w:rsidRPr="00387739" w:rsidRDefault="00894471" w:rsidP="005267D3">
            <w:pPr>
              <w:rPr>
                <w:color w:val="000000"/>
                <w:sz w:val="20"/>
                <w:szCs w:val="20"/>
                <w:lang w:eastAsia="en-AU"/>
              </w:rPr>
            </w:pPr>
            <w:r w:rsidRPr="00387739">
              <w:rPr>
                <w:sz w:val="20"/>
                <w:szCs w:val="20"/>
                <w:lang w:eastAsia="en-AU"/>
              </w:rPr>
              <w:t>Visual</w:t>
            </w:r>
          </w:p>
        </w:tc>
        <w:tc>
          <w:tcPr>
            <w:tcW w:w="1559" w:type="dxa"/>
            <w:tcBorders>
              <w:top w:val="nil"/>
              <w:left w:val="nil"/>
              <w:bottom w:val="single" w:sz="8" w:space="0" w:color="D9D9D9"/>
              <w:right w:val="single" w:sz="8" w:space="0" w:color="D9D9D9"/>
            </w:tcBorders>
            <w:shd w:val="clear" w:color="000000" w:fill="FFFFFF"/>
            <w:noWrap/>
            <w:vAlign w:val="bottom"/>
          </w:tcPr>
          <w:p w14:paraId="2A754096" w14:textId="77777777" w:rsidR="00894471" w:rsidRPr="00387739" w:rsidRDefault="00894471" w:rsidP="00E977C7">
            <w:pPr>
              <w:jc w:val="right"/>
              <w:rPr>
                <w:rFonts w:cs="Arial"/>
                <w:sz w:val="20"/>
                <w:szCs w:val="20"/>
                <w:lang w:eastAsia="en-AU"/>
              </w:rPr>
            </w:pPr>
            <w:r w:rsidRPr="00387739">
              <w:rPr>
                <w:sz w:val="20"/>
                <w:szCs w:val="20"/>
                <w:lang w:eastAsia="en-AU"/>
              </w:rPr>
              <w:t>7,933</w:t>
            </w:r>
          </w:p>
        </w:tc>
        <w:tc>
          <w:tcPr>
            <w:tcW w:w="1559" w:type="dxa"/>
            <w:tcBorders>
              <w:top w:val="nil"/>
              <w:left w:val="nil"/>
              <w:bottom w:val="single" w:sz="8" w:space="0" w:color="D9D9D9"/>
              <w:right w:val="single" w:sz="8" w:space="0" w:color="D9D9D9"/>
            </w:tcBorders>
            <w:shd w:val="clear" w:color="000000" w:fill="FFFFFF"/>
            <w:noWrap/>
            <w:vAlign w:val="bottom"/>
          </w:tcPr>
          <w:p w14:paraId="6F3B8305" w14:textId="237C5F7D" w:rsidR="00894471" w:rsidRPr="00387739" w:rsidRDefault="00894471" w:rsidP="00E977C7">
            <w:pPr>
              <w:jc w:val="right"/>
              <w:rPr>
                <w:rFonts w:cs="Arial"/>
                <w:sz w:val="20"/>
                <w:szCs w:val="20"/>
                <w:lang w:eastAsia="en-AU"/>
              </w:rPr>
            </w:pPr>
            <w:r w:rsidRPr="00387739">
              <w:rPr>
                <w:sz w:val="20"/>
                <w:szCs w:val="20"/>
                <w:lang w:eastAsia="en-AU"/>
              </w:rPr>
              <w:t>0.5</w:t>
            </w:r>
          </w:p>
        </w:tc>
        <w:tc>
          <w:tcPr>
            <w:tcW w:w="1559" w:type="dxa"/>
            <w:tcBorders>
              <w:top w:val="nil"/>
              <w:left w:val="nil"/>
              <w:bottom w:val="single" w:sz="8" w:space="0" w:color="D9D9D9"/>
              <w:right w:val="single" w:sz="8" w:space="0" w:color="D9D9D9"/>
            </w:tcBorders>
            <w:shd w:val="clear" w:color="000000" w:fill="FFFFFF"/>
            <w:noWrap/>
            <w:vAlign w:val="bottom"/>
          </w:tcPr>
          <w:p w14:paraId="591E506C" w14:textId="75680CEF" w:rsidR="00894471" w:rsidRPr="00387739" w:rsidRDefault="00894471" w:rsidP="00E977C7">
            <w:pPr>
              <w:jc w:val="right"/>
              <w:rPr>
                <w:rFonts w:cs="Arial"/>
                <w:sz w:val="20"/>
                <w:szCs w:val="20"/>
                <w:lang w:eastAsia="en-AU"/>
              </w:rPr>
            </w:pPr>
            <w:r w:rsidRPr="00387739">
              <w:rPr>
                <w:sz w:val="20"/>
                <w:szCs w:val="20"/>
                <w:lang w:eastAsia="en-AU"/>
              </w:rPr>
              <w:t>10.0</w:t>
            </w:r>
          </w:p>
        </w:tc>
        <w:tc>
          <w:tcPr>
            <w:tcW w:w="1560" w:type="dxa"/>
            <w:tcBorders>
              <w:top w:val="nil"/>
              <w:left w:val="nil"/>
              <w:bottom w:val="single" w:sz="8" w:space="0" w:color="D9D9D9"/>
              <w:right w:val="single" w:sz="8" w:space="0" w:color="D9D9D9"/>
            </w:tcBorders>
            <w:shd w:val="clear" w:color="000000" w:fill="FFFFFF"/>
            <w:vAlign w:val="bottom"/>
          </w:tcPr>
          <w:p w14:paraId="7B0037F1" w14:textId="33C51473" w:rsidR="00894471" w:rsidRPr="00387739" w:rsidRDefault="00894471" w:rsidP="00E977C7">
            <w:pPr>
              <w:jc w:val="right"/>
              <w:rPr>
                <w:rFonts w:cs="Arial"/>
                <w:sz w:val="20"/>
                <w:szCs w:val="20"/>
                <w:lang w:eastAsia="en-AU"/>
              </w:rPr>
            </w:pPr>
            <w:r w:rsidRPr="00387739">
              <w:rPr>
                <w:sz w:val="20"/>
                <w:szCs w:val="20"/>
                <w:lang w:eastAsia="en-AU"/>
              </w:rPr>
              <w:t>35.9</w:t>
            </w:r>
          </w:p>
        </w:tc>
      </w:tr>
      <w:tr w:rsidR="00894471" w:rsidRPr="003E1EBA" w14:paraId="6B35EB18"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000000" w:fill="FFF6E0"/>
            <w:noWrap/>
          </w:tcPr>
          <w:p w14:paraId="08EAAEE6" w14:textId="77777777" w:rsidR="00894471" w:rsidRPr="00387739" w:rsidRDefault="00894471" w:rsidP="005267D3">
            <w:pPr>
              <w:rPr>
                <w:color w:val="000000"/>
                <w:sz w:val="20"/>
                <w:szCs w:val="20"/>
                <w:lang w:eastAsia="en-AU"/>
              </w:rPr>
            </w:pPr>
            <w:r w:rsidRPr="00387739">
              <w:rPr>
                <w:sz w:val="20"/>
                <w:szCs w:val="20"/>
                <w:lang w:eastAsia="en-AU"/>
              </w:rPr>
              <w:t>Medical</w:t>
            </w:r>
          </w:p>
        </w:tc>
        <w:tc>
          <w:tcPr>
            <w:tcW w:w="1559" w:type="dxa"/>
            <w:tcBorders>
              <w:top w:val="nil"/>
              <w:left w:val="nil"/>
              <w:bottom w:val="single" w:sz="8" w:space="0" w:color="D9D9D9"/>
              <w:right w:val="single" w:sz="8" w:space="0" w:color="D9D9D9"/>
            </w:tcBorders>
            <w:shd w:val="clear" w:color="000000" w:fill="FFF6E0"/>
            <w:noWrap/>
            <w:vAlign w:val="bottom"/>
          </w:tcPr>
          <w:p w14:paraId="2E446441" w14:textId="77777777" w:rsidR="00894471" w:rsidRPr="00387739" w:rsidRDefault="00894471" w:rsidP="00E977C7">
            <w:pPr>
              <w:jc w:val="right"/>
              <w:rPr>
                <w:rFonts w:cs="Arial"/>
                <w:sz w:val="20"/>
                <w:szCs w:val="20"/>
                <w:lang w:eastAsia="en-AU"/>
              </w:rPr>
            </w:pPr>
            <w:r w:rsidRPr="00387739">
              <w:rPr>
                <w:sz w:val="20"/>
                <w:szCs w:val="20"/>
                <w:lang w:eastAsia="en-AU"/>
              </w:rPr>
              <w:t>30,169</w:t>
            </w:r>
          </w:p>
        </w:tc>
        <w:tc>
          <w:tcPr>
            <w:tcW w:w="1559" w:type="dxa"/>
            <w:tcBorders>
              <w:top w:val="nil"/>
              <w:left w:val="nil"/>
              <w:bottom w:val="single" w:sz="8" w:space="0" w:color="D9D9D9"/>
              <w:right w:val="single" w:sz="8" w:space="0" w:color="D9D9D9"/>
            </w:tcBorders>
            <w:shd w:val="clear" w:color="000000" w:fill="FFF6E0"/>
            <w:noWrap/>
            <w:vAlign w:val="bottom"/>
          </w:tcPr>
          <w:p w14:paraId="10C6DC05" w14:textId="2AAE61B6" w:rsidR="00894471" w:rsidRPr="00387739" w:rsidRDefault="00894471" w:rsidP="00E977C7">
            <w:pPr>
              <w:jc w:val="right"/>
              <w:rPr>
                <w:rFonts w:cs="Arial"/>
                <w:sz w:val="20"/>
                <w:szCs w:val="20"/>
                <w:lang w:eastAsia="en-AU"/>
              </w:rPr>
            </w:pPr>
            <w:r w:rsidRPr="00387739">
              <w:rPr>
                <w:sz w:val="20"/>
                <w:szCs w:val="20"/>
                <w:lang w:eastAsia="en-AU"/>
              </w:rPr>
              <w:t>1.9</w:t>
            </w:r>
          </w:p>
        </w:tc>
        <w:tc>
          <w:tcPr>
            <w:tcW w:w="1559" w:type="dxa"/>
            <w:tcBorders>
              <w:top w:val="nil"/>
              <w:left w:val="nil"/>
              <w:bottom w:val="single" w:sz="8" w:space="0" w:color="D9D9D9"/>
              <w:right w:val="single" w:sz="8" w:space="0" w:color="D9D9D9"/>
            </w:tcBorders>
            <w:shd w:val="clear" w:color="000000" w:fill="FFF6E0"/>
            <w:noWrap/>
            <w:vAlign w:val="bottom"/>
          </w:tcPr>
          <w:p w14:paraId="37F36D74" w14:textId="7EE74619" w:rsidR="00894471" w:rsidRPr="00387739" w:rsidRDefault="00894471" w:rsidP="00E977C7">
            <w:pPr>
              <w:jc w:val="right"/>
              <w:rPr>
                <w:rFonts w:cs="Arial"/>
                <w:sz w:val="20"/>
                <w:szCs w:val="20"/>
                <w:lang w:eastAsia="en-AU"/>
              </w:rPr>
            </w:pPr>
            <w:r w:rsidRPr="00387739">
              <w:rPr>
                <w:sz w:val="20"/>
                <w:szCs w:val="20"/>
                <w:lang w:eastAsia="en-AU"/>
              </w:rPr>
              <w:t>38.0</w:t>
            </w:r>
          </w:p>
        </w:tc>
        <w:tc>
          <w:tcPr>
            <w:tcW w:w="1560" w:type="dxa"/>
            <w:tcBorders>
              <w:top w:val="nil"/>
              <w:left w:val="nil"/>
              <w:bottom w:val="single" w:sz="8" w:space="0" w:color="D9D9D9"/>
              <w:right w:val="single" w:sz="8" w:space="0" w:color="D9D9D9"/>
            </w:tcBorders>
            <w:shd w:val="clear" w:color="000000" w:fill="FFF6E0"/>
            <w:vAlign w:val="bottom"/>
          </w:tcPr>
          <w:p w14:paraId="10BAD97B" w14:textId="09793C20" w:rsidR="00894471" w:rsidRPr="00387739" w:rsidRDefault="00894471" w:rsidP="00E977C7">
            <w:pPr>
              <w:jc w:val="right"/>
              <w:rPr>
                <w:rFonts w:cs="Arial"/>
                <w:sz w:val="20"/>
                <w:szCs w:val="20"/>
                <w:lang w:eastAsia="en-AU"/>
              </w:rPr>
            </w:pPr>
            <w:r w:rsidRPr="00387739">
              <w:rPr>
                <w:sz w:val="20"/>
                <w:szCs w:val="20"/>
                <w:lang w:eastAsia="en-AU"/>
              </w:rPr>
              <w:t>54.4</w:t>
            </w:r>
          </w:p>
        </w:tc>
      </w:tr>
      <w:tr w:rsidR="00894471" w:rsidRPr="003E1EBA" w14:paraId="2FCA79E7" w14:textId="77777777" w:rsidTr="00E977C7">
        <w:trPr>
          <w:trHeight w:hRule="exact" w:val="312"/>
        </w:trPr>
        <w:tc>
          <w:tcPr>
            <w:tcW w:w="2410" w:type="dxa"/>
            <w:tcBorders>
              <w:top w:val="nil"/>
              <w:left w:val="single" w:sz="8" w:space="0" w:color="D9D9D9"/>
              <w:bottom w:val="single" w:sz="8" w:space="0" w:color="D9D9D9"/>
              <w:right w:val="single" w:sz="8" w:space="0" w:color="D9D9D9"/>
            </w:tcBorders>
            <w:shd w:val="clear" w:color="auto" w:fill="auto"/>
            <w:noWrap/>
          </w:tcPr>
          <w:p w14:paraId="0E88E664" w14:textId="77777777" w:rsidR="00894471" w:rsidRPr="00387739" w:rsidRDefault="00894471" w:rsidP="005267D3">
            <w:pPr>
              <w:rPr>
                <w:sz w:val="20"/>
                <w:szCs w:val="20"/>
                <w:lang w:eastAsia="en-AU"/>
              </w:rPr>
            </w:pPr>
            <w:r w:rsidRPr="00387739">
              <w:rPr>
                <w:sz w:val="20"/>
                <w:szCs w:val="20"/>
                <w:lang w:eastAsia="en-AU"/>
              </w:rPr>
              <w:t>Other Disability</w:t>
            </w:r>
          </w:p>
        </w:tc>
        <w:tc>
          <w:tcPr>
            <w:tcW w:w="1559" w:type="dxa"/>
            <w:tcBorders>
              <w:top w:val="nil"/>
              <w:left w:val="nil"/>
              <w:bottom w:val="single" w:sz="8" w:space="0" w:color="D9D9D9"/>
              <w:right w:val="single" w:sz="8" w:space="0" w:color="D9D9D9"/>
            </w:tcBorders>
            <w:shd w:val="clear" w:color="auto" w:fill="auto"/>
            <w:noWrap/>
            <w:vAlign w:val="bottom"/>
          </w:tcPr>
          <w:p w14:paraId="34FB48BF" w14:textId="77777777" w:rsidR="00894471" w:rsidRPr="00387739" w:rsidRDefault="00894471" w:rsidP="00E977C7">
            <w:pPr>
              <w:jc w:val="right"/>
              <w:rPr>
                <w:rFonts w:cs="Arial"/>
                <w:sz w:val="20"/>
                <w:szCs w:val="20"/>
                <w:lang w:eastAsia="en-AU"/>
              </w:rPr>
            </w:pPr>
            <w:r w:rsidRPr="00387739">
              <w:rPr>
                <w:sz w:val="20"/>
                <w:szCs w:val="20"/>
                <w:lang w:eastAsia="en-AU"/>
              </w:rPr>
              <w:t>34,564</w:t>
            </w:r>
          </w:p>
        </w:tc>
        <w:tc>
          <w:tcPr>
            <w:tcW w:w="1559" w:type="dxa"/>
            <w:tcBorders>
              <w:top w:val="nil"/>
              <w:left w:val="nil"/>
              <w:bottom w:val="single" w:sz="8" w:space="0" w:color="D9D9D9"/>
              <w:right w:val="single" w:sz="8" w:space="0" w:color="D9D9D9"/>
            </w:tcBorders>
            <w:shd w:val="clear" w:color="auto" w:fill="auto"/>
            <w:noWrap/>
            <w:vAlign w:val="bottom"/>
          </w:tcPr>
          <w:p w14:paraId="272286A1" w14:textId="0B0441AA" w:rsidR="00894471" w:rsidRPr="00387739" w:rsidRDefault="00894471" w:rsidP="00E977C7">
            <w:pPr>
              <w:jc w:val="right"/>
              <w:rPr>
                <w:rFonts w:cs="Arial"/>
                <w:sz w:val="20"/>
                <w:szCs w:val="20"/>
                <w:lang w:eastAsia="en-AU"/>
              </w:rPr>
            </w:pPr>
            <w:r w:rsidRPr="00387739">
              <w:rPr>
                <w:sz w:val="20"/>
                <w:szCs w:val="20"/>
                <w:lang w:eastAsia="en-AU"/>
              </w:rPr>
              <w:t>2.2</w:t>
            </w:r>
          </w:p>
        </w:tc>
        <w:tc>
          <w:tcPr>
            <w:tcW w:w="1559" w:type="dxa"/>
            <w:tcBorders>
              <w:top w:val="nil"/>
              <w:left w:val="nil"/>
              <w:bottom w:val="single" w:sz="8" w:space="0" w:color="D9D9D9"/>
              <w:right w:val="single" w:sz="8" w:space="0" w:color="D9D9D9"/>
            </w:tcBorders>
            <w:shd w:val="clear" w:color="auto" w:fill="auto"/>
            <w:noWrap/>
            <w:vAlign w:val="bottom"/>
          </w:tcPr>
          <w:p w14:paraId="72938DA6" w14:textId="3D57C66A" w:rsidR="00894471" w:rsidRPr="00387739" w:rsidRDefault="00894471" w:rsidP="00E977C7">
            <w:pPr>
              <w:jc w:val="right"/>
              <w:rPr>
                <w:rFonts w:cs="Arial"/>
                <w:sz w:val="20"/>
                <w:szCs w:val="20"/>
                <w:lang w:eastAsia="en-AU"/>
              </w:rPr>
            </w:pPr>
            <w:r w:rsidRPr="00387739">
              <w:rPr>
                <w:sz w:val="20"/>
                <w:szCs w:val="20"/>
                <w:lang w:eastAsia="en-AU"/>
              </w:rPr>
              <w:t>43.5</w:t>
            </w:r>
          </w:p>
        </w:tc>
        <w:tc>
          <w:tcPr>
            <w:tcW w:w="1560" w:type="dxa"/>
            <w:tcBorders>
              <w:top w:val="nil"/>
              <w:left w:val="nil"/>
              <w:bottom w:val="single" w:sz="8" w:space="0" w:color="D9D9D9"/>
              <w:right w:val="single" w:sz="8" w:space="0" w:color="D9D9D9"/>
            </w:tcBorders>
            <w:shd w:val="clear" w:color="auto" w:fill="auto"/>
            <w:vAlign w:val="bottom"/>
          </w:tcPr>
          <w:p w14:paraId="21AE1E3B" w14:textId="6B639810" w:rsidR="00894471" w:rsidRPr="00387739" w:rsidRDefault="00894471" w:rsidP="00E977C7">
            <w:pPr>
              <w:jc w:val="right"/>
              <w:rPr>
                <w:rFonts w:cs="Arial"/>
                <w:sz w:val="20"/>
                <w:szCs w:val="20"/>
                <w:lang w:eastAsia="en-AU"/>
              </w:rPr>
            </w:pPr>
            <w:r w:rsidRPr="00387739">
              <w:rPr>
                <w:sz w:val="20"/>
                <w:szCs w:val="20"/>
                <w:lang w:eastAsia="en-AU"/>
              </w:rPr>
              <w:t>56.0</w:t>
            </w:r>
          </w:p>
        </w:tc>
      </w:tr>
    </w:tbl>
    <w:p w14:paraId="4CFBDBB2" w14:textId="525AA944" w:rsidR="00894471" w:rsidRPr="00F919C2" w:rsidRDefault="00894471" w:rsidP="00207C67">
      <w:pPr>
        <w:spacing w:before="240" w:line="240" w:lineRule="auto"/>
      </w:pPr>
      <w:r w:rsidRPr="00207C67">
        <w:rPr>
          <w:b/>
          <w:sz w:val="18"/>
          <w:szCs w:val="18"/>
        </w:rPr>
        <w:t>Note:</w:t>
      </w:r>
      <w:r w:rsidRPr="00207C67">
        <w:rPr>
          <w:sz w:val="18"/>
          <w:szCs w:val="18"/>
        </w:rPr>
        <w:t xml:space="preserve"> 1. Headcount and percentage shares across disability categories exceed 100% because students can nominate for inclusion in more than one category. </w:t>
      </w:r>
      <w:r w:rsidR="00207C67">
        <w:rPr>
          <w:sz w:val="18"/>
          <w:szCs w:val="18"/>
        </w:rPr>
        <w:br/>
      </w:r>
      <w:r w:rsidRPr="00207C67">
        <w:rPr>
          <w:b/>
          <w:sz w:val="18"/>
          <w:szCs w:val="18"/>
        </w:rPr>
        <w:t>Source:</w:t>
      </w:r>
      <w:r w:rsidRPr="00207C67">
        <w:rPr>
          <w:sz w:val="18"/>
          <w:szCs w:val="18"/>
        </w:rPr>
        <w:t xml:space="preserve"> </w:t>
      </w:r>
      <w:r w:rsidR="002F326F" w:rsidRPr="00207C67">
        <w:rPr>
          <w:sz w:val="18"/>
          <w:szCs w:val="18"/>
        </w:rPr>
        <w:t xml:space="preserve">Department of Education, Skills and </w:t>
      </w:r>
      <w:r w:rsidR="00A079F1">
        <w:rPr>
          <w:sz w:val="18"/>
          <w:szCs w:val="18"/>
        </w:rPr>
        <w:t>Employment</w:t>
      </w:r>
      <w:r w:rsidR="002F326F" w:rsidRPr="00207C67">
        <w:rPr>
          <w:sz w:val="18"/>
          <w:szCs w:val="18"/>
        </w:rPr>
        <w:t>.</w:t>
      </w:r>
      <w:r w:rsidRPr="00207C67">
        <w:rPr>
          <w:sz w:val="18"/>
          <w:szCs w:val="18"/>
        </w:rPr>
        <w:t xml:space="preserve"> </w:t>
      </w:r>
      <w:r w:rsidR="002F326F" w:rsidRPr="00207C67">
        <w:rPr>
          <w:sz w:val="18"/>
          <w:szCs w:val="18"/>
        </w:rPr>
        <w:t>P</w:t>
      </w:r>
      <w:r w:rsidRPr="00207C67">
        <w:rPr>
          <w:sz w:val="18"/>
          <w:szCs w:val="18"/>
        </w:rPr>
        <w:t>rivate data request</w:t>
      </w:r>
      <w:r>
        <w:t xml:space="preserve">. </w:t>
      </w:r>
    </w:p>
    <w:p w14:paraId="04F24EA5" w14:textId="77777777" w:rsidR="00E977C7" w:rsidRDefault="00E977C7" w:rsidP="005267D3"/>
    <w:p w14:paraId="6BF12846" w14:textId="75A63954" w:rsidR="00926B1C" w:rsidRDefault="00823482" w:rsidP="005267D3">
      <w:r>
        <w:lastRenderedPageBreak/>
        <w:t>From a policy perspective, the most critical issue is the identification of the unique needs of students with disability in higher education.</w:t>
      </w:r>
      <w:r w:rsidR="00373EFB">
        <w:t xml:space="preserve"> Around 52.9 per cent of students nominating a disability indicate that they will seek advice on support services</w:t>
      </w:r>
      <w:r w:rsidR="00AC15C9">
        <w:t xml:space="preserve">, ranging from 35.9 per cent among those with a visual disability to </w:t>
      </w:r>
      <w:r w:rsidR="00197C19">
        <w:t xml:space="preserve">70.2 per cent for those with a learning disability. </w:t>
      </w:r>
    </w:p>
    <w:p w14:paraId="75619E63" w14:textId="22A288BD" w:rsidR="00E7054F" w:rsidRDefault="00E7054F" w:rsidP="005267D3">
      <w:r>
        <w:t xml:space="preserve">The collection and reporting of data on disability in Australian higher education, even at the high level presented above, raises some key questions for the Review: </w:t>
      </w:r>
    </w:p>
    <w:p w14:paraId="6263A637" w14:textId="3967EB54" w:rsidR="003F0E6B" w:rsidRDefault="004948C9" w:rsidP="005267D3">
      <w:pPr>
        <w:pStyle w:val="ListParagraph"/>
        <w:numPr>
          <w:ilvl w:val="0"/>
          <w:numId w:val="31"/>
        </w:numPr>
      </w:pPr>
      <w:r>
        <w:t>How should the</w:t>
      </w:r>
      <w:r w:rsidR="00424C43">
        <w:t xml:space="preserve"> Standards</w:t>
      </w:r>
      <w:r>
        <w:t xml:space="preserve"> be connected to other aspects of disability policy in higher education? </w:t>
      </w:r>
    </w:p>
    <w:p w14:paraId="19400DBF" w14:textId="352D71C1" w:rsidR="004948C9" w:rsidRPr="0099645E" w:rsidRDefault="003F0E6B" w:rsidP="005267D3">
      <w:pPr>
        <w:pStyle w:val="ListParagraph"/>
        <w:numPr>
          <w:ilvl w:val="0"/>
          <w:numId w:val="31"/>
        </w:numPr>
      </w:pPr>
      <w:r>
        <w:t xml:space="preserve">How should disability be defined and classified? </w:t>
      </w:r>
      <w:r w:rsidR="004948C9">
        <w:t xml:space="preserve"> </w:t>
      </w:r>
    </w:p>
    <w:p w14:paraId="3A547B92" w14:textId="2DAD1C9A" w:rsidR="0099645E" w:rsidRDefault="00E7054F" w:rsidP="005267D3">
      <w:pPr>
        <w:pStyle w:val="ListParagraph"/>
        <w:numPr>
          <w:ilvl w:val="0"/>
          <w:numId w:val="31"/>
        </w:numPr>
      </w:pPr>
      <w:r>
        <w:t xml:space="preserve">How should students with disability be identified in higher education? </w:t>
      </w:r>
    </w:p>
    <w:p w14:paraId="03B63FB1" w14:textId="1C89D1FF" w:rsidR="0039034E" w:rsidRDefault="00E7054F" w:rsidP="005267D3">
      <w:pPr>
        <w:pStyle w:val="ListParagraph"/>
        <w:numPr>
          <w:ilvl w:val="0"/>
          <w:numId w:val="31"/>
        </w:numPr>
      </w:pPr>
      <w:r w:rsidRPr="0099645E">
        <w:t xml:space="preserve">What </w:t>
      </w:r>
      <w:r w:rsidR="004948C9">
        <w:t>issues exist in higher education that need to be addressed in relation to (1) and (2)</w:t>
      </w:r>
      <w:r w:rsidR="003F7D5D">
        <w:t xml:space="preserve">, with specific reference to </w:t>
      </w:r>
      <w:r w:rsidR="0099645E">
        <w:t>stage</w:t>
      </w:r>
      <w:r w:rsidR="003F7D5D">
        <w:t>s in the student engagement cycle</w:t>
      </w:r>
      <w:r w:rsidR="0099645E">
        <w:t xml:space="preserve"> (pre-access to post-graduation)</w:t>
      </w:r>
      <w:r w:rsidR="007B7B79">
        <w:t>?</w:t>
      </w:r>
    </w:p>
    <w:p w14:paraId="16FA3F57" w14:textId="46D44D6B" w:rsidR="00682B9C" w:rsidRDefault="00682B9C" w:rsidP="005267D3">
      <w:pPr>
        <w:pStyle w:val="Heading1"/>
      </w:pPr>
      <w:bookmarkStart w:id="6" w:name="_Toc51830720"/>
      <w:r>
        <w:t>Higher Education and Disability Standards</w:t>
      </w:r>
      <w:bookmarkEnd w:id="6"/>
      <w:r>
        <w:t xml:space="preserve"> </w:t>
      </w:r>
    </w:p>
    <w:p w14:paraId="4EEC3B27" w14:textId="4DAED839" w:rsidR="00187E73" w:rsidRDefault="00AA0922" w:rsidP="005267D3">
      <w:r>
        <w:t>One overarching issue in Australia is that</w:t>
      </w:r>
      <w:r w:rsidR="00DA440A">
        <w:t xml:space="preserve"> the </w:t>
      </w:r>
      <w:r w:rsidR="003957F7">
        <w:t xml:space="preserve">response to </w:t>
      </w:r>
      <w:r>
        <w:t>disability in education</w:t>
      </w:r>
      <w:r w:rsidR="000D47CD">
        <w:t xml:space="preserve"> </w:t>
      </w:r>
      <w:r w:rsidR="000B1AE2">
        <w:t xml:space="preserve">requires a </w:t>
      </w:r>
      <w:r w:rsidR="00B95067">
        <w:t>greater</w:t>
      </w:r>
      <w:r w:rsidR="000B1AE2">
        <w:t xml:space="preserve"> degree of cohesion.</w:t>
      </w:r>
      <w:r w:rsidR="00187E73">
        <w:t xml:space="preserve"> </w:t>
      </w:r>
      <w:r w:rsidR="00172BA6">
        <w:t>In a</w:t>
      </w:r>
      <w:r w:rsidR="00187E73">
        <w:t xml:space="preserve"> recent</w:t>
      </w:r>
      <w:r w:rsidR="0056485B">
        <w:t xml:space="preserve"> </w:t>
      </w:r>
      <w:r w:rsidR="00172BA6">
        <w:t xml:space="preserve">NCSEHE-funded </w:t>
      </w:r>
      <w:r w:rsidR="0056485B">
        <w:t>study</w:t>
      </w:r>
      <w:r w:rsidR="00172BA6">
        <w:t xml:space="preserve">, Naylor </w:t>
      </w:r>
      <w:r w:rsidR="00A079F1">
        <w:t xml:space="preserve">and </w:t>
      </w:r>
      <w:r w:rsidR="00C760F9">
        <w:t xml:space="preserve">Mifsud (2019) examined </w:t>
      </w:r>
      <w:r w:rsidR="00C42086">
        <w:t>institutional cultural responses to structural inequality</w:t>
      </w:r>
      <w:r w:rsidR="00267A93">
        <w:t xml:space="preserve">. </w:t>
      </w:r>
      <w:r w:rsidR="0039233A">
        <w:t xml:space="preserve">They </w:t>
      </w:r>
      <w:r w:rsidR="008E7F2D">
        <w:t>ma</w:t>
      </w:r>
      <w:r w:rsidR="001B30F6">
        <w:t>d</w:t>
      </w:r>
      <w:r w:rsidR="008E7F2D">
        <w:t xml:space="preserve">e a broad distinction between </w:t>
      </w:r>
      <w:r w:rsidR="00C65FFD">
        <w:t>two approaches to overcoming structural inequality at the institutional level. The first they term</w:t>
      </w:r>
      <w:r w:rsidR="00891F82">
        <w:t>ed</w:t>
      </w:r>
      <w:r w:rsidR="00C65FFD">
        <w:t xml:space="preserve"> </w:t>
      </w:r>
      <w:r w:rsidR="00E910F6">
        <w:rPr>
          <w:i/>
        </w:rPr>
        <w:t xml:space="preserve">Primarily </w:t>
      </w:r>
      <w:r w:rsidR="00D74252">
        <w:rPr>
          <w:i/>
        </w:rPr>
        <w:t>C</w:t>
      </w:r>
      <w:r w:rsidR="00E910F6">
        <w:rPr>
          <w:i/>
        </w:rPr>
        <w:t>apacity</w:t>
      </w:r>
      <w:r w:rsidR="00D74252">
        <w:rPr>
          <w:i/>
        </w:rPr>
        <w:t xml:space="preserve"> Building</w:t>
      </w:r>
      <w:r w:rsidR="00D74252">
        <w:t xml:space="preserve"> approaches, where institutions</w:t>
      </w:r>
      <w:r w:rsidR="008D49B5">
        <w:t>’</w:t>
      </w:r>
      <w:r w:rsidR="00D74252">
        <w:t xml:space="preserve"> core focus was on </w:t>
      </w:r>
      <w:r w:rsidR="000E7B2E">
        <w:t>“</w:t>
      </w:r>
      <w:r w:rsidR="00D74252">
        <w:t>building capacity</w:t>
      </w:r>
      <w:r w:rsidR="000E7B2E">
        <w:t>”</w:t>
      </w:r>
      <w:r w:rsidR="00D74252">
        <w:t xml:space="preserve"> in students</w:t>
      </w:r>
      <w:r w:rsidR="00FD0A90">
        <w:t xml:space="preserve"> to assist them in navigating the institution. </w:t>
      </w:r>
      <w:r w:rsidR="00891F82">
        <w:t xml:space="preserve">The second they termed </w:t>
      </w:r>
      <w:r w:rsidR="00891F82">
        <w:rPr>
          <w:i/>
        </w:rPr>
        <w:t>Primarily Structurally Enabling</w:t>
      </w:r>
      <w:r w:rsidR="00891F82">
        <w:t xml:space="preserve"> approaches, </w:t>
      </w:r>
      <w:r w:rsidR="00E25413">
        <w:t>wh</w:t>
      </w:r>
      <w:r w:rsidR="00AF3AE4">
        <w:t>ere the institution recognise</w:t>
      </w:r>
      <w:r w:rsidR="0080073C">
        <w:t>d</w:t>
      </w:r>
      <w:r w:rsidR="00AF3AE4">
        <w:t xml:space="preserve"> that processes which inhibit the ability of students </w:t>
      </w:r>
      <w:r w:rsidR="00CE1EF1">
        <w:t xml:space="preserve">to </w:t>
      </w:r>
      <w:r w:rsidR="00AF3AE4">
        <w:t>navigate the institution can be changed</w:t>
      </w:r>
      <w:r w:rsidR="0027473E">
        <w:t xml:space="preserve">, ensuring that institutional engagement with students is as flexible and responsive as possible. A third approach, </w:t>
      </w:r>
      <w:r w:rsidR="002C206F">
        <w:t xml:space="preserve">termed </w:t>
      </w:r>
      <w:r w:rsidR="002C206F" w:rsidRPr="002C206F">
        <w:rPr>
          <w:i/>
        </w:rPr>
        <w:t>Blended</w:t>
      </w:r>
      <w:r w:rsidR="002C206F">
        <w:t xml:space="preserve">, is a combination of </w:t>
      </w:r>
      <w:r w:rsidR="00CE1EF1">
        <w:t xml:space="preserve">the </w:t>
      </w:r>
      <w:r w:rsidR="002C206F">
        <w:t>two. The autho</w:t>
      </w:r>
      <w:r w:rsidR="00F64B86">
        <w:t>r</w:t>
      </w:r>
      <w:r w:rsidR="002C206F">
        <w:t>s f</w:t>
      </w:r>
      <w:r w:rsidR="002543DD">
        <w:t>ound</w:t>
      </w:r>
      <w:r w:rsidR="00F64B86">
        <w:t xml:space="preserve"> that there were differences in approaches across equity groups, </w:t>
      </w:r>
      <w:r w:rsidR="00873DBB">
        <w:t xml:space="preserve">and that: </w:t>
      </w:r>
    </w:p>
    <w:p w14:paraId="1C3BB0AB" w14:textId="124FF294" w:rsidR="00187E73" w:rsidRDefault="00187E73" w:rsidP="00A5523F">
      <w:pPr>
        <w:ind w:left="720"/>
      </w:pPr>
      <w:r w:rsidRPr="00187E73">
        <w:t>A finding from this study was that structurally enabling approaches were most widespread and well developed in the disability space, where formal legislation exists to ensure that students with disabilities can pursue their studies with appropriate adjustments. This indicates an area where the performance expectancy of a structural approach clearly supported its widespread acceptance within relevant areas of the institution. In this case, the clear benefits of adopting a structural approach—by minimising legal risk and complaints from students and staff, as well as promoting social justice outcomes—</w:t>
      </w:r>
      <w:r w:rsidRPr="00187E73">
        <w:lastRenderedPageBreak/>
        <w:t>compared to the negative potential outcomes of using another approach, or doing nothing, may have contributed to its widespread adoption across the sector.</w:t>
      </w:r>
      <w:r>
        <w:t xml:space="preserve"> (p. 42). </w:t>
      </w:r>
    </w:p>
    <w:p w14:paraId="13D5A570" w14:textId="3451D8CB" w:rsidR="00C425D8" w:rsidRDefault="00413330" w:rsidP="00A5523F">
      <w:r>
        <w:t xml:space="preserve">Students with disability </w:t>
      </w:r>
      <w:r w:rsidR="00D04FB6">
        <w:t xml:space="preserve">encounter a unique set of barriers to access and participation </w:t>
      </w:r>
      <w:r w:rsidR="0026519F">
        <w:t>in higher education, often in contexts which are unique even in the equity environment (</w:t>
      </w:r>
      <w:r w:rsidR="0000265B">
        <w:t xml:space="preserve">e.g., </w:t>
      </w:r>
      <w:r w:rsidR="0026519F">
        <w:t>physical infrastructure</w:t>
      </w:r>
      <w:r w:rsidR="00D64EEC">
        <w:t xml:space="preserve"> requirements</w:t>
      </w:r>
      <w:r w:rsidR="007933FB">
        <w:t xml:space="preserve"> or</w:t>
      </w:r>
      <w:r w:rsidR="0026519F">
        <w:t xml:space="preserve"> </w:t>
      </w:r>
      <w:r w:rsidR="007933FB">
        <w:t>individual-specific modifications to</w:t>
      </w:r>
      <w:r w:rsidR="00D64EEC">
        <w:t xml:space="preserve"> </w:t>
      </w:r>
      <w:r w:rsidR="0026519F">
        <w:t>course material</w:t>
      </w:r>
      <w:r w:rsidR="00D64EEC">
        <w:t>).</w:t>
      </w:r>
      <w:r w:rsidR="004A030A">
        <w:t xml:space="preserve"> This necessitates a unique focus on </w:t>
      </w:r>
      <w:r w:rsidR="00C425D8">
        <w:t xml:space="preserve">the requirements of what is </w:t>
      </w:r>
      <w:r w:rsidR="001B30F6">
        <w:t xml:space="preserve">a </w:t>
      </w:r>
      <w:r w:rsidR="00C425D8">
        <w:t xml:space="preserve">diverse group of students. </w:t>
      </w:r>
    </w:p>
    <w:p w14:paraId="194E6D29" w14:textId="486273ED" w:rsidR="006B64F7" w:rsidRPr="006B64F7" w:rsidRDefault="00453FB1" w:rsidP="005267D3">
      <w:r>
        <w:t>However</w:t>
      </w:r>
      <w:r w:rsidR="006B64F7">
        <w:t>,</w:t>
      </w:r>
      <w:r w:rsidR="00BB265B">
        <w:t xml:space="preserve"> </w:t>
      </w:r>
      <w:r w:rsidR="000E3AD5">
        <w:t xml:space="preserve">while institutional change is largely </w:t>
      </w:r>
      <w:r w:rsidR="007F32A7">
        <w:t>assumed to come about through structural approaches, t</w:t>
      </w:r>
      <w:r w:rsidR="006B64F7" w:rsidRPr="006B64F7">
        <w:t>here is</w:t>
      </w:r>
      <w:r w:rsidR="007F32A7">
        <w:t xml:space="preserve"> presently</w:t>
      </w:r>
      <w:r w:rsidR="006B64F7" w:rsidRPr="006B64F7">
        <w:t xml:space="preserve"> no mechanism to ensure that </w:t>
      </w:r>
      <w:r w:rsidR="007F32A7">
        <w:t>higher education providers</w:t>
      </w:r>
      <w:r w:rsidR="006B64F7" w:rsidRPr="006B64F7">
        <w:t xml:space="preserve"> comply with the </w:t>
      </w:r>
      <w:r w:rsidR="00424C43">
        <w:t>Standards</w:t>
      </w:r>
      <w:r w:rsidR="006B64F7" w:rsidRPr="006B64F7">
        <w:t>.</w:t>
      </w:r>
      <w:r>
        <w:t xml:space="preserve"> Further, in the absence of a </w:t>
      </w:r>
      <w:r w:rsidR="00D97F93">
        <w:t xml:space="preserve">regulator for </w:t>
      </w:r>
      <w:r w:rsidR="00FD5A5A">
        <w:t xml:space="preserve">the </w:t>
      </w:r>
      <w:r w:rsidR="00633AD8">
        <w:t>Standards</w:t>
      </w:r>
      <w:r w:rsidR="00D97F93">
        <w:t xml:space="preserve"> in either higher education or education more broadly, </w:t>
      </w:r>
      <w:r w:rsidR="00E97D93">
        <w:t xml:space="preserve">there is </w:t>
      </w:r>
      <w:r w:rsidR="00A06892">
        <w:t xml:space="preserve">exists a risk of </w:t>
      </w:r>
      <w:r w:rsidR="00E97D93">
        <w:t>an over-</w:t>
      </w:r>
      <w:r w:rsidR="00EC6202">
        <w:t>reliance</w:t>
      </w:r>
      <w:r w:rsidR="00D97F93">
        <w:t xml:space="preserve"> on </w:t>
      </w:r>
      <w:r w:rsidR="00E97D93">
        <w:t>the</w:t>
      </w:r>
      <w:r w:rsidR="00D97F93">
        <w:t xml:space="preserve"> five yearly review process</w:t>
      </w:r>
      <w:r w:rsidR="00A243E9">
        <w:t xml:space="preserve"> to ensure that policy settings are appropriate</w:t>
      </w:r>
      <w:r w:rsidR="009918FF">
        <w:t>.</w:t>
      </w:r>
      <w:r w:rsidR="00A243E9">
        <w:t xml:space="preserve"> The challenges of COVID-19 indicate the benefits of having greater external structures </w:t>
      </w:r>
      <w:r w:rsidR="00C508A5">
        <w:t xml:space="preserve">for policy formation and </w:t>
      </w:r>
      <w:r w:rsidR="00A243E9">
        <w:t>accountability</w:t>
      </w:r>
      <w:r w:rsidR="00C508A5">
        <w:t xml:space="preserve"> in relation to disability policy.</w:t>
      </w:r>
      <w:r w:rsidR="00607F8B">
        <w:t xml:space="preserve"> </w:t>
      </w:r>
    </w:p>
    <w:p w14:paraId="6588DA1B" w14:textId="214EEB26" w:rsidR="00CD018A" w:rsidRDefault="00B41671" w:rsidP="005267D3">
      <w:r>
        <w:t xml:space="preserve">The NCSEHE </w:t>
      </w:r>
      <w:r w:rsidR="00633AD8">
        <w:t>contends</w:t>
      </w:r>
      <w:r w:rsidR="00CE1EF1">
        <w:t xml:space="preserve"> </w:t>
      </w:r>
      <w:r>
        <w:t>that</w:t>
      </w:r>
      <w:r w:rsidRPr="000F26ED">
        <w:t xml:space="preserve"> responsibility </w:t>
      </w:r>
      <w:r>
        <w:t>for</w:t>
      </w:r>
      <w:r w:rsidRPr="000F26ED">
        <w:t xml:space="preserve"> complying with the</w:t>
      </w:r>
      <w:r w:rsidR="00BD0244">
        <w:t xml:space="preserve"> Standards</w:t>
      </w:r>
      <w:r w:rsidRPr="000F26ED">
        <w:t xml:space="preserve"> </w:t>
      </w:r>
      <w:r>
        <w:t xml:space="preserve">should </w:t>
      </w:r>
      <w:r w:rsidR="00A57E0D">
        <w:t>lie with</w:t>
      </w:r>
      <w:r w:rsidRPr="000F26ED">
        <w:t xml:space="preserve"> institutions</w:t>
      </w:r>
      <w:r w:rsidR="001B30F6">
        <w:t xml:space="preserve">. That </w:t>
      </w:r>
      <w:r w:rsidR="00156B9F">
        <w:t xml:space="preserve">compliance should </w:t>
      </w:r>
      <w:r w:rsidRPr="000F26ED">
        <w:t>be proactive rather than reactive and include taking a whole-of-institution approach to disability that considers an institution’s culture and environment.</w:t>
      </w:r>
      <w:r w:rsidR="00156B9F">
        <w:t xml:space="preserve"> However, the evidence </w:t>
      </w:r>
      <w:r w:rsidR="00730EBC">
        <w:t>suggests that institutional respons</w:t>
      </w:r>
      <w:r w:rsidR="007B3DC3">
        <w:t>iveness</w:t>
      </w:r>
      <w:r w:rsidR="00730EBC">
        <w:t xml:space="preserve"> and innovation </w:t>
      </w:r>
      <w:r w:rsidR="007B3DC3">
        <w:t xml:space="preserve">in disability policy </w:t>
      </w:r>
      <w:r w:rsidR="00730EBC">
        <w:t xml:space="preserve">is </w:t>
      </w:r>
      <w:r w:rsidR="007B3DC3">
        <w:t xml:space="preserve">often </w:t>
      </w:r>
      <w:r w:rsidR="009D6C76">
        <w:t>best motivated through external accountability. For this reason, t</w:t>
      </w:r>
      <w:r w:rsidR="001A15DE">
        <w:t>he NCSEHE’s first recommendation is that the Review consider</w:t>
      </w:r>
      <w:r w:rsidR="00A00099">
        <w:t>s</w:t>
      </w:r>
      <w:r w:rsidR="001A15DE">
        <w:t xml:space="preserve"> options for establishing a</w:t>
      </w:r>
      <w:r w:rsidR="00CE4259">
        <w:t>n office</w:t>
      </w:r>
      <w:r w:rsidR="001A15DE">
        <w:t xml:space="preserve"> with formal responsibility for policy on disability in Australian education, including the </w:t>
      </w:r>
      <w:r w:rsidR="00BD0244">
        <w:t>Standards</w:t>
      </w:r>
      <w:r w:rsidR="001A15DE">
        <w:t xml:space="preserve">. One possibility is the establishment of the position of </w:t>
      </w:r>
      <w:r w:rsidR="001A15DE" w:rsidRPr="002711B6">
        <w:rPr>
          <w:b/>
          <w:bCs/>
        </w:rPr>
        <w:t>Disability Education Commissioner</w:t>
      </w:r>
      <w:r w:rsidR="001A15DE">
        <w:t xml:space="preserve">, an office along the lines of the newly proposed Regional Education Commissioner </w:t>
      </w:r>
      <w:r w:rsidR="001A15DE" w:rsidRPr="00931200">
        <w:t>(</w:t>
      </w:r>
      <w:r w:rsidR="00963A8D" w:rsidRPr="00931200">
        <w:t>Department of Education, Skills and Employment</w:t>
      </w:r>
      <w:r w:rsidR="001A15DE" w:rsidRPr="00931200">
        <w:t>, 2019</w:t>
      </w:r>
      <w:r w:rsidR="001A15DE">
        <w:t xml:space="preserve">). The </w:t>
      </w:r>
      <w:r w:rsidR="001A15DE" w:rsidRPr="00352D1E">
        <w:t>Disability Education Commissioner</w:t>
      </w:r>
      <w:r w:rsidR="001A15DE">
        <w:t xml:space="preserve"> would have </w:t>
      </w:r>
      <w:r w:rsidR="00C6586D">
        <w:t xml:space="preserve">responsibility </w:t>
      </w:r>
      <w:r w:rsidR="001A15DE">
        <w:t>for the development, implementation</w:t>
      </w:r>
      <w:r w:rsidR="00230F4E">
        <w:t>,</w:t>
      </w:r>
      <w:r w:rsidR="001A15DE">
        <w:t xml:space="preserve"> and evaluation of the </w:t>
      </w:r>
      <w:r w:rsidR="00633AD8">
        <w:t>Standards</w:t>
      </w:r>
      <w:r w:rsidR="001A15DE">
        <w:t xml:space="preserve">, </w:t>
      </w:r>
      <w:r w:rsidR="004772DB">
        <w:t xml:space="preserve">in conjunction with an assessment of </w:t>
      </w:r>
      <w:r w:rsidR="001A15DE">
        <w:t xml:space="preserve">other disability policy initiatives, across all settings in Australian education. </w:t>
      </w:r>
    </w:p>
    <w:p w14:paraId="6913DE16" w14:textId="2949F8F2" w:rsidR="00630DBC" w:rsidRDefault="00F324D2" w:rsidP="003C7447">
      <w:pPr>
        <w:pBdr>
          <w:left w:val="single" w:sz="4" w:space="4" w:color="auto"/>
        </w:pBdr>
        <w:spacing w:before="360"/>
        <w:ind w:left="720"/>
        <w:rPr>
          <w:rFonts w:ascii="SansaSoft Pro SemiBold" w:eastAsiaTheme="majorEastAsia" w:hAnsi="SansaSoft Pro SemiBold" w:cstheme="majorBidi"/>
          <w:color w:val="B58C0A"/>
          <w:sz w:val="40"/>
          <w:szCs w:val="28"/>
        </w:rPr>
      </w:pPr>
      <w:r w:rsidRPr="00F324D2">
        <w:rPr>
          <w:b/>
          <w:bCs/>
        </w:rPr>
        <w:t xml:space="preserve">Recommendation 1: </w:t>
      </w:r>
      <w:r w:rsidRPr="00F324D2">
        <w:t>That the position of Disability Education Commissioner be established</w:t>
      </w:r>
      <w:r>
        <w:t xml:space="preserve"> </w:t>
      </w:r>
      <w:r w:rsidRPr="00F324D2">
        <w:t xml:space="preserve">through the Standards, to have responsibility for the implementation of the </w:t>
      </w:r>
      <w:r w:rsidR="00633AD8">
        <w:t>Standards</w:t>
      </w:r>
      <w:r w:rsidRPr="00F324D2">
        <w:t xml:space="preserve"> and other disability</w:t>
      </w:r>
      <w:r>
        <w:t xml:space="preserve"> </w:t>
      </w:r>
      <w:r w:rsidRPr="00F324D2">
        <w:t>policy initiatives, across all settings in Australian education.</w:t>
      </w:r>
      <w:r w:rsidR="00630DBC">
        <w:br w:type="page"/>
      </w:r>
    </w:p>
    <w:p w14:paraId="6C5B6510" w14:textId="5B55217B" w:rsidR="003F0E6B" w:rsidRDefault="003F0E6B" w:rsidP="005267D3">
      <w:pPr>
        <w:pStyle w:val="Heading1"/>
      </w:pPr>
      <w:bookmarkStart w:id="7" w:name="_Toc51830721"/>
      <w:r>
        <w:lastRenderedPageBreak/>
        <w:t>Defini</w:t>
      </w:r>
      <w:r w:rsidR="00B7712A">
        <w:t>ng</w:t>
      </w:r>
      <w:r>
        <w:t xml:space="preserve"> Disability</w:t>
      </w:r>
      <w:bookmarkEnd w:id="7"/>
      <w:r>
        <w:t xml:space="preserve"> </w:t>
      </w:r>
    </w:p>
    <w:p w14:paraId="677C46D6" w14:textId="35EF9380" w:rsidR="00182BE1" w:rsidRPr="00D63DFE" w:rsidRDefault="00182BE1" w:rsidP="005267D3">
      <w:r w:rsidRPr="00D63DFE">
        <w:t>There are issues around the support of students with disabilit</w:t>
      </w:r>
      <w:r w:rsidR="00DA04EC">
        <w:t>y</w:t>
      </w:r>
      <w:r w:rsidRPr="00D63DFE">
        <w:t xml:space="preserve"> in Australian </w:t>
      </w:r>
      <w:r w:rsidR="00573204">
        <w:t>higher education</w:t>
      </w:r>
      <w:r w:rsidRPr="00D63DFE">
        <w:t xml:space="preserve">, </w:t>
      </w:r>
      <w:r w:rsidR="006F273F">
        <w:t>particularly in relation</w:t>
      </w:r>
      <w:r w:rsidRPr="00D63DFE">
        <w:t xml:space="preserve"> to </w:t>
      </w:r>
      <w:r w:rsidR="006F273F">
        <w:t xml:space="preserve">its </w:t>
      </w:r>
      <w:r w:rsidRPr="00D63DFE">
        <w:t xml:space="preserve">reliance </w:t>
      </w:r>
      <w:r w:rsidR="00573204">
        <w:t>on</w:t>
      </w:r>
      <w:r w:rsidRPr="00D63DFE">
        <w:t xml:space="preserve"> self-disclosure</w:t>
      </w:r>
      <w:r w:rsidR="00573204">
        <w:t xml:space="preserve">, issues around the definition of disability (notably in relation to mental health) and </w:t>
      </w:r>
      <w:r w:rsidRPr="00D63DFE">
        <w:t xml:space="preserve">a deficit model of disability. Currently, disability identification functions through student self-disclosure either at enrolment, and </w:t>
      </w:r>
      <w:r w:rsidR="006D3A1F">
        <w:t xml:space="preserve">is </w:t>
      </w:r>
      <w:r w:rsidRPr="00D63DFE">
        <w:t>potentially followed up by university services to offer support, or at some point during their studies when university assistance becomes necessary. Self-disclosure is the primary mechanism for accessing disability support, adjustments, and accommodations at university. This reliance on self-disclosure maintains the onus on the individual to proactively identify themselves as having a disability, predominantly in the context of an anticipated need for assistance.</w:t>
      </w:r>
    </w:p>
    <w:p w14:paraId="689F48D8" w14:textId="26BFEC74" w:rsidR="00E3456F" w:rsidRDefault="00182BE1" w:rsidP="005267D3">
      <w:r w:rsidRPr="00D63DFE">
        <w:t>The disability classifications currently utilised by universities are somewhat simplistic and based on a medical model of disability (Brett, 2016), which fails to capture the complexities and diversit</w:t>
      </w:r>
      <w:r w:rsidR="00ED1F80">
        <w:t>y</w:t>
      </w:r>
      <w:r w:rsidRPr="00D63DFE">
        <w:t xml:space="preserve"> of disability. Students may experience multiple disabilities, different severities and durations of disability, and combinations of disability and health conditions, such as chronic illness and mental ill-health (Cunninghame, Costello &amp; Trinidad, 2016). A simple classification system of disclosure neglects </w:t>
      </w:r>
      <w:r w:rsidR="00DE547F">
        <w:t xml:space="preserve">the </w:t>
      </w:r>
      <w:r w:rsidRPr="00D63DFE">
        <w:t xml:space="preserve">opportunity for a more nuanced and meaningful understanding of student need, limiting capacity for institutions to enhance inclusion of students with disability. </w:t>
      </w:r>
    </w:p>
    <w:p w14:paraId="78617279" w14:textId="097CF25E" w:rsidR="0089592F" w:rsidRDefault="0089592F" w:rsidP="005267D3">
      <w:r w:rsidRPr="00D63DFE">
        <w:t>The medical model</w:t>
      </w:r>
      <w:r>
        <w:t xml:space="preserve"> also</w:t>
      </w:r>
      <w:r w:rsidRPr="00D63DFE">
        <w:t xml:space="preserve"> tends to place impairment at the core of the problem</w:t>
      </w:r>
      <w:r>
        <w:t xml:space="preserve"> </w:t>
      </w:r>
      <w:r w:rsidR="00DE547F">
        <w:t xml:space="preserve">— </w:t>
      </w:r>
      <w:r>
        <w:t>requiring</w:t>
      </w:r>
      <w:r w:rsidRPr="00D63DFE">
        <w:t xml:space="preserve"> </w:t>
      </w:r>
      <w:r>
        <w:t>a “</w:t>
      </w:r>
      <w:r w:rsidRPr="00D63DFE">
        <w:t>fix</w:t>
      </w:r>
      <w:r>
        <w:t xml:space="preserve"> or cure”</w:t>
      </w:r>
      <w:r w:rsidRPr="00D63DFE">
        <w:t xml:space="preserve"> </w:t>
      </w:r>
      <w:r>
        <w:t>for</w:t>
      </w:r>
      <w:r w:rsidRPr="00D63DFE">
        <w:t xml:space="preserve"> the individual. </w:t>
      </w:r>
      <w:r>
        <w:t>The NCSEHE advocates for a</w:t>
      </w:r>
      <w:r w:rsidRPr="00D63DFE">
        <w:t xml:space="preserve"> social model of disability, </w:t>
      </w:r>
      <w:r>
        <w:t>where</w:t>
      </w:r>
      <w:r w:rsidRPr="00D63DFE">
        <w:t xml:space="preserve"> </w:t>
      </w:r>
      <w:r>
        <w:t>a</w:t>
      </w:r>
      <w:r w:rsidRPr="00D63DFE">
        <w:t xml:space="preserve"> broader understanding of disability shift</w:t>
      </w:r>
      <w:r>
        <w:t>s the</w:t>
      </w:r>
      <w:r w:rsidRPr="00D63DFE">
        <w:t xml:space="preserve"> emphasis </w:t>
      </w:r>
      <w:r>
        <w:t>to making social structures more equitable and removing systemic barriers to participation, rather than a single focus on “</w:t>
      </w:r>
      <w:r w:rsidRPr="00D63DFE">
        <w:t>impair</w:t>
      </w:r>
      <w:r>
        <w:t>ment”.</w:t>
      </w:r>
      <w:r w:rsidRPr="00D63DFE">
        <w:t xml:space="preserve"> </w:t>
      </w:r>
      <w:r>
        <w:t xml:space="preserve">This </w:t>
      </w:r>
      <w:r w:rsidRPr="00D63DFE">
        <w:t>places policy a</w:t>
      </w:r>
      <w:r>
        <w:t>t</w:t>
      </w:r>
      <w:r w:rsidRPr="00D63DFE">
        <w:t xml:space="preserve"> the centre of intervention to mitigate disadvantage, with inclusion being the responsibility of institutions,</w:t>
      </w:r>
      <w:r>
        <w:t xml:space="preserve"> and</w:t>
      </w:r>
      <w:r w:rsidRPr="00D63DFE">
        <w:t xml:space="preserve"> reflecting principles of </w:t>
      </w:r>
      <w:r w:rsidR="00672FD8">
        <w:t>u</w:t>
      </w:r>
      <w:r w:rsidRPr="00D63DFE">
        <w:t xml:space="preserve">niversal </w:t>
      </w:r>
      <w:r w:rsidR="00672FD8">
        <w:t>d</w:t>
      </w:r>
      <w:r w:rsidRPr="00D63DFE">
        <w:t xml:space="preserve">esign (Brett, 2016). While </w:t>
      </w:r>
      <w:r>
        <w:t xml:space="preserve">the </w:t>
      </w:r>
      <w:r w:rsidRPr="00D63DFE">
        <w:t>identification of medicalised disability offer</w:t>
      </w:r>
      <w:r>
        <w:t>s</w:t>
      </w:r>
      <w:r w:rsidRPr="00D63DFE">
        <w:t xml:space="preserve"> </w:t>
      </w:r>
      <w:r>
        <w:t xml:space="preserve">some </w:t>
      </w:r>
      <w:r w:rsidRPr="00D63DFE">
        <w:t>useful information for universities, the underlying purpose of collecting this information should be to inform institutional policy and interventions that facilitate greater inclusion and support of students with disability. Categorical identification, therefore, must be supplemented with information that allows for a more complex understanding of student needs, beyond the mere presence or absence of disability</w:t>
      </w:r>
      <w:r w:rsidR="00DE547F">
        <w:t xml:space="preserve"> </w:t>
      </w:r>
      <w:r w:rsidR="00DE547F" w:rsidRPr="00D63DFE">
        <w:t>(Kilpatrick</w:t>
      </w:r>
      <w:r w:rsidR="00DE547F">
        <w:t xml:space="preserve"> et al.</w:t>
      </w:r>
      <w:r w:rsidR="00DE547F" w:rsidRPr="00D63DFE">
        <w:t>, 2016)</w:t>
      </w:r>
      <w:r w:rsidRPr="00D63DFE">
        <w:t>. The development of an appropriate and sensitive mechanism to supplement high</w:t>
      </w:r>
      <w:r w:rsidR="00EF1691">
        <w:t>-</w:t>
      </w:r>
      <w:r w:rsidRPr="00D63DFE">
        <w:t>level identification of disability, which allows for a more nuanced and meaningful understanding of student need</w:t>
      </w:r>
      <w:r>
        <w:t>,</w:t>
      </w:r>
      <w:r w:rsidRPr="00D63DFE">
        <w:t xml:space="preserve"> is required.</w:t>
      </w:r>
      <w:r>
        <w:t xml:space="preserve"> </w:t>
      </w:r>
    </w:p>
    <w:p w14:paraId="7E2BFFF1" w14:textId="77777777" w:rsidR="00D63DFE" w:rsidRDefault="00D63DFE" w:rsidP="005267D3"/>
    <w:p w14:paraId="3A48FA00" w14:textId="27B6243C" w:rsidR="008B518E" w:rsidRPr="00A3256F" w:rsidRDefault="00A5523F" w:rsidP="003C7447">
      <w:pPr>
        <w:pBdr>
          <w:left w:val="single" w:sz="4" w:space="4" w:color="auto"/>
        </w:pBdr>
        <w:ind w:left="720"/>
        <w:rPr>
          <w:b/>
          <w:bCs/>
        </w:rPr>
      </w:pPr>
      <w:r>
        <w:rPr>
          <w:noProof/>
          <w:lang w:eastAsia="en-AU"/>
        </w:rPr>
        <w:lastRenderedPageBreak/>
        <mc:AlternateContent>
          <mc:Choice Requires="wps">
            <w:drawing>
              <wp:anchor distT="0" distB="0" distL="114300" distR="114300" simplePos="0" relativeHeight="251665408" behindDoc="0" locked="0" layoutInCell="1" allowOverlap="1" wp14:anchorId="44B0CB4A" wp14:editId="1198E678">
                <wp:simplePos x="0" y="0"/>
                <wp:positionH relativeFrom="column">
                  <wp:posOffset>8533794</wp:posOffset>
                </wp:positionH>
                <wp:positionV relativeFrom="paragraph">
                  <wp:posOffset>-231701</wp:posOffset>
                </wp:positionV>
                <wp:extent cx="6236335" cy="707666"/>
                <wp:effectExtent l="0" t="0" r="12065" b="16510"/>
                <wp:wrapNone/>
                <wp:docPr id="4" name="Text Box 4" title="Decoration"/>
                <wp:cNvGraphicFramePr/>
                <a:graphic xmlns:a="http://schemas.openxmlformats.org/drawingml/2006/main">
                  <a:graphicData uri="http://schemas.microsoft.com/office/word/2010/wordprocessingShape">
                    <wps:wsp>
                      <wps:cNvSpPr txBox="1"/>
                      <wps:spPr>
                        <a:xfrm>
                          <a:off x="0" y="0"/>
                          <a:ext cx="6236335" cy="707666"/>
                        </a:xfrm>
                        <a:prstGeom prst="rect">
                          <a:avLst/>
                        </a:prstGeom>
                        <a:noFill/>
                        <a:ln w="6350">
                          <a:solidFill>
                            <a:schemeClr val="tx1"/>
                          </a:solidFill>
                        </a:ln>
                      </wps:spPr>
                      <wps:txbx>
                        <w:txbxContent>
                          <w:p w14:paraId="1B103A76" w14:textId="77777777" w:rsidR="00A079F1" w:rsidRDefault="00A079F1" w:rsidP="00A3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0CB4A" id="_x0000_t202" coordsize="21600,21600" o:spt="202" path="m,l,21600r21600,l21600,xe">
                <v:stroke joinstyle="miter"/>
                <v:path gradientshapeok="t" o:connecttype="rect"/>
              </v:shapetype>
              <v:shape id="Text Box 4" o:spid="_x0000_s1026" type="#_x0000_t202" alt="Title: Decoration" style="position:absolute;left:0;text-align:left;margin-left:671.95pt;margin-top:-18.25pt;width:491.05pt;height:5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" filled="f" strokecolor="black [3213]" strokeweight=".5pt">
                <v:textbox>
                  <w:txbxContent>
                    <w:p w14:paraId="1B103A76" w14:textId="77777777" w:rsidR="00A079F1" w:rsidRDefault="00A079F1" w:rsidP="00A364F0"/>
                  </w:txbxContent>
                </v:textbox>
              </v:shape>
            </w:pict>
          </mc:Fallback>
        </mc:AlternateContent>
      </w:r>
      <w:r w:rsidR="008B518E" w:rsidRPr="00A3256F">
        <w:rPr>
          <w:b/>
          <w:bCs/>
        </w:rPr>
        <w:t xml:space="preserve">Recommendation 2: </w:t>
      </w:r>
      <w:r w:rsidR="00BE6A97" w:rsidRPr="106A0044">
        <w:t xml:space="preserve">That the Standards require </w:t>
      </w:r>
      <w:r w:rsidR="00BE6A97">
        <w:t xml:space="preserve">the </w:t>
      </w:r>
      <w:r w:rsidR="00BE6A97" w:rsidRPr="106A0044">
        <w:t xml:space="preserve">identification of disability </w:t>
      </w:r>
      <w:r w:rsidR="00BE6A97">
        <w:t xml:space="preserve">be </w:t>
      </w:r>
      <w:r w:rsidR="00BE6A97" w:rsidRPr="106A0044">
        <w:t>complemented with contextual information that allows for a more nuanced and meaningful understanding of student experience and need.</w:t>
      </w:r>
    </w:p>
    <w:p w14:paraId="080D09E2" w14:textId="68E65EAF" w:rsidR="00F324D2" w:rsidRDefault="008B518E" w:rsidP="003C7447">
      <w:pPr>
        <w:pBdr>
          <w:left w:val="single" w:sz="4" w:space="4" w:color="auto"/>
        </w:pBdr>
        <w:ind w:left="720"/>
      </w:pPr>
      <w:r w:rsidRPr="00A3256F">
        <w:rPr>
          <w:b/>
          <w:bCs/>
        </w:rPr>
        <w:t xml:space="preserve">Recommendation 3: </w:t>
      </w:r>
      <w:r w:rsidRPr="00A3256F">
        <w:t xml:space="preserve">That the Standards impose a stronger requirement </w:t>
      </w:r>
      <w:r w:rsidR="00EC120D">
        <w:t>on</w:t>
      </w:r>
      <w:r w:rsidRPr="00A3256F">
        <w:t xml:space="preserve"> institutions to adopt a universal design approach to disability, whereby the presence of students with disability is assumed, regardless of disclosure, with available data used to inform the development of inclusive policy and practice.</w:t>
      </w:r>
    </w:p>
    <w:p w14:paraId="1D2643AE" w14:textId="5E8371B2" w:rsidR="007F67E4" w:rsidRDefault="004A6292" w:rsidP="005267D3">
      <w:pPr>
        <w:pStyle w:val="Heading1"/>
      </w:pPr>
      <w:bookmarkStart w:id="8" w:name="_Toc51830722"/>
      <w:r>
        <w:t>Identification of Disability</w:t>
      </w:r>
      <w:bookmarkEnd w:id="8"/>
      <w:r>
        <w:t xml:space="preserve"> </w:t>
      </w:r>
    </w:p>
    <w:p w14:paraId="6E023C11" w14:textId="15DEF608" w:rsidR="00222623" w:rsidRPr="00DE0873" w:rsidRDefault="00222623" w:rsidP="005267D3">
      <w:r>
        <w:t xml:space="preserve">Australia now has 30 years’ experience in collection, analysing and reporting on student equity data in higher education, including reporting on disability. </w:t>
      </w:r>
      <w:r w:rsidRPr="00FB3C12">
        <w:t>The creation of</w:t>
      </w:r>
      <w:r>
        <w:t xml:space="preserve"> the</w:t>
      </w:r>
      <w:r w:rsidRPr="00FB3C12">
        <w:t xml:space="preserve"> structure for classifying</w:t>
      </w:r>
      <w:r>
        <w:t xml:space="preserve"> </w:t>
      </w:r>
      <w:r w:rsidRPr="00FB3C12">
        <w:t>students according to disadvantage</w:t>
      </w:r>
      <w:r>
        <w:t xml:space="preserve"> (equity group)</w:t>
      </w:r>
      <w:r w:rsidRPr="00FB3C12">
        <w:t xml:space="preserve"> originated in the release in 1990 of </w:t>
      </w:r>
      <w:r w:rsidRPr="00FB3C12">
        <w:rPr>
          <w:i/>
        </w:rPr>
        <w:t>A Fair Chance for All</w:t>
      </w:r>
      <w:r w:rsidRPr="00FB3C12">
        <w:t xml:space="preserve">, an Australian Government report which </w:t>
      </w:r>
      <w:r>
        <w:t>defined</w:t>
      </w:r>
      <w:r w:rsidRPr="00FB3C12">
        <w:t xml:space="preserve"> equity groups in Australia</w:t>
      </w:r>
      <w:r>
        <w:t>n higher education</w:t>
      </w:r>
      <w:r w:rsidRPr="00FB3C12">
        <w:t xml:space="preserve"> (Department of Employment, Education and Training, 1990). This was followed in 1994 with the </w:t>
      </w:r>
      <w:r w:rsidRPr="00FB3C12">
        <w:rPr>
          <w:i/>
        </w:rPr>
        <w:t>Review of</w:t>
      </w:r>
      <w:r w:rsidRPr="00FB3C12">
        <w:t xml:space="preserve"> </w:t>
      </w:r>
      <w:r w:rsidRPr="00FB3C12">
        <w:rPr>
          <w:i/>
        </w:rPr>
        <w:t xml:space="preserve">Equity and General Performance Indicators in Higher Education </w:t>
      </w:r>
      <w:r w:rsidRPr="00FB3C12">
        <w:t>(</w:t>
      </w:r>
      <w:r w:rsidR="000E7B2E">
        <w:t>“</w:t>
      </w:r>
      <w:r w:rsidRPr="00FB3C12">
        <w:t>The Martin Review</w:t>
      </w:r>
      <w:r w:rsidR="000E7B2E">
        <w:t>”</w:t>
      </w:r>
      <w:r w:rsidRPr="00FB3C12">
        <w:t xml:space="preserve">) which largely established the current system for identifying and tracking </w:t>
      </w:r>
      <w:r w:rsidR="000E7B2E">
        <w:t>“</w:t>
      </w:r>
      <w:r w:rsidRPr="00FB3C12">
        <w:t>equity group</w:t>
      </w:r>
      <w:r w:rsidR="000E7B2E">
        <w:t>”</w:t>
      </w:r>
      <w:r w:rsidRPr="00FB3C12">
        <w:t xml:space="preserve"> students in Australian higher education (Martin, 1994).</w:t>
      </w:r>
      <w:r>
        <w:t xml:space="preserve"> </w:t>
      </w:r>
      <w:r w:rsidRPr="00DE0873">
        <w:t xml:space="preserve"> </w:t>
      </w:r>
    </w:p>
    <w:p w14:paraId="66C74425" w14:textId="6C400AD1" w:rsidR="00222623" w:rsidRDefault="00222623" w:rsidP="005267D3">
      <w:r>
        <w:t>Australia</w:t>
      </w:r>
      <w:r w:rsidR="00E8168D">
        <w:t xml:space="preserve"> collects</w:t>
      </w:r>
      <w:r>
        <w:t xml:space="preserve"> information on student disability</w:t>
      </w:r>
      <w:r w:rsidR="00E8168D">
        <w:t xml:space="preserve"> via the Higher Education Information Management System (HEIMS)</w:t>
      </w:r>
      <w:r>
        <w:t xml:space="preserve">. This is a self-reported measure, with students asked to indicate a </w:t>
      </w:r>
      <w:r w:rsidR="000E7B2E">
        <w:t>“</w:t>
      </w:r>
      <w:r>
        <w:t xml:space="preserve">disability, impairment or </w:t>
      </w:r>
      <w:r w:rsidR="00D144C7">
        <w:t>long-term</w:t>
      </w:r>
      <w:r>
        <w:t xml:space="preserve"> medical condition</w:t>
      </w:r>
      <w:r w:rsidR="000E7B2E">
        <w:t>”</w:t>
      </w:r>
      <w:r>
        <w:t xml:space="preserve"> in relation to the broad categories of disability: </w:t>
      </w:r>
      <w:r w:rsidR="000E7B2E">
        <w:t>“</w:t>
      </w:r>
      <w:r>
        <w:t>hearing</w:t>
      </w:r>
      <w:r w:rsidR="000E7B2E">
        <w:t>”</w:t>
      </w:r>
      <w:r>
        <w:t xml:space="preserve">; </w:t>
      </w:r>
      <w:r w:rsidR="000E7B2E">
        <w:t>“</w:t>
      </w:r>
      <w:r>
        <w:t>learning</w:t>
      </w:r>
      <w:r w:rsidR="000E7B2E">
        <w:t>”</w:t>
      </w:r>
      <w:r>
        <w:t xml:space="preserve">; </w:t>
      </w:r>
      <w:r w:rsidR="000E7B2E">
        <w:t>“</w:t>
      </w:r>
      <w:r>
        <w:t>mobility</w:t>
      </w:r>
      <w:r w:rsidR="000E7B2E">
        <w:t>”</w:t>
      </w:r>
      <w:r>
        <w:t xml:space="preserve">; </w:t>
      </w:r>
      <w:r w:rsidR="000E7B2E">
        <w:t>“</w:t>
      </w:r>
      <w:r>
        <w:t>visual</w:t>
      </w:r>
      <w:r w:rsidR="000E7B2E">
        <w:t>”</w:t>
      </w:r>
      <w:r>
        <w:t xml:space="preserve">; </w:t>
      </w:r>
      <w:r w:rsidR="000E7B2E">
        <w:t>“</w:t>
      </w:r>
      <w:r>
        <w:t>medical</w:t>
      </w:r>
      <w:r w:rsidR="000E7B2E">
        <w:t>”</w:t>
      </w:r>
      <w:r>
        <w:t xml:space="preserve"> or </w:t>
      </w:r>
      <w:r w:rsidR="000E7B2E">
        <w:t>“</w:t>
      </w:r>
      <w:r>
        <w:t>other disability</w:t>
      </w:r>
      <w:r w:rsidR="000E7B2E">
        <w:t>”</w:t>
      </w:r>
      <w:r>
        <w:t xml:space="preserve">. In addition, they are also asked if they </w:t>
      </w:r>
      <w:r w:rsidR="000E7B2E">
        <w:t>“</w:t>
      </w:r>
      <w:r>
        <w:t>would like to receive advice on support services, equipment and facilities</w:t>
      </w:r>
      <w:r w:rsidR="000E7B2E">
        <w:t>”</w:t>
      </w:r>
      <w:r>
        <w:t xml:space="preserve"> (Element No. 386 </w:t>
      </w:r>
      <w:r w:rsidR="00761DD4">
        <w:t>“</w:t>
      </w:r>
      <w:r>
        <w:t>Disability</w:t>
      </w:r>
      <w:r w:rsidR="00761DD4">
        <w:t>”</w:t>
      </w:r>
      <w:r>
        <w:t xml:space="preserve">, in: Higher Education Information Management System, 2020). </w:t>
      </w:r>
    </w:p>
    <w:p w14:paraId="1F8F3219" w14:textId="053E5449" w:rsidR="00DA306C" w:rsidRDefault="00C05847" w:rsidP="005267D3">
      <w:r>
        <w:t>T</w:t>
      </w:r>
      <w:r w:rsidR="0084499E">
        <w:t>he inclusion of students with disability</w:t>
      </w:r>
      <w:r w:rsidR="00891EA0">
        <w:t xml:space="preserve"> </w:t>
      </w:r>
      <w:r w:rsidR="0084499E">
        <w:t>(then known as “students with disabilities”)</w:t>
      </w:r>
      <w:r w:rsidR="00891EA0">
        <w:t xml:space="preserve"> in the original student equity framework</w:t>
      </w:r>
      <w:r w:rsidR="0084499E">
        <w:t xml:space="preserve"> was problematic,</w:t>
      </w:r>
      <w:r>
        <w:t xml:space="preserve"> as note</w:t>
      </w:r>
      <w:r w:rsidR="005661CB">
        <w:t>d</w:t>
      </w:r>
      <w:r>
        <w:t xml:space="preserve"> by Martin (2016),</w:t>
      </w:r>
      <w:r w:rsidR="0084499E">
        <w:t xml:space="preserve"> with virtually no history of data collection on this equity characteristic in Australian higher education</w:t>
      </w:r>
      <w:r w:rsidR="000404B5">
        <w:t>.</w:t>
      </w:r>
      <w:r w:rsidR="0084499E">
        <w:t xml:space="preserve"> </w:t>
      </w:r>
      <w:r w:rsidR="000404B5">
        <w:t>C</w:t>
      </w:r>
      <w:r w:rsidR="0084499E">
        <w:t xml:space="preserve">onsequently, </w:t>
      </w:r>
      <w:r w:rsidR="000404B5">
        <w:t>there was a</w:t>
      </w:r>
      <w:r w:rsidR="0084499E">
        <w:t xml:space="preserve"> reluctance on the part of policymakers to initiate the collection of a disability indicator except on a trial basis </w:t>
      </w:r>
      <w:r w:rsidR="00354394">
        <w:rPr>
          <w:rFonts w:ascii="Engravers MT" w:hAnsi="Engravers MT"/>
        </w:rPr>
        <w:t>—</w:t>
      </w:r>
      <w:r w:rsidR="0084499E">
        <w:t xml:space="preserve"> the result of which remains to this day (Ma</w:t>
      </w:r>
      <w:r w:rsidR="00BF297C">
        <w:t>r</w:t>
      </w:r>
      <w:r w:rsidR="0084499E">
        <w:t>tin, 2016, p. 32).</w:t>
      </w:r>
      <w:r w:rsidR="008B59E5">
        <w:t xml:space="preserve"> The identification of disability status in higher education has thus remained static in the face of major shifts in policy, including the introduction of the </w:t>
      </w:r>
      <w:r w:rsidR="00633AD8">
        <w:t>Standards</w:t>
      </w:r>
      <w:r w:rsidR="008B59E5">
        <w:t xml:space="preserve"> in 20</w:t>
      </w:r>
      <w:r w:rsidR="005661CB">
        <w:t>0</w:t>
      </w:r>
      <w:r w:rsidR="008B59E5">
        <w:t xml:space="preserve">5. This is readily seen in the mechanism for identifying disability in higher education. </w:t>
      </w:r>
      <w:r w:rsidR="0084499E">
        <w:t>Disability</w:t>
      </w:r>
      <w:r w:rsidR="008B59E5">
        <w:t>,</w:t>
      </w:r>
      <w:r w:rsidR="0084499E">
        <w:t xml:space="preserve"> along with Indigenous status, is the only equity indicator generated </w:t>
      </w:r>
      <w:r w:rsidR="00C0042B">
        <w:t>via</w:t>
      </w:r>
      <w:r w:rsidR="0084499E">
        <w:t xml:space="preserve"> self-reporting</w:t>
      </w:r>
      <w:r w:rsidR="00C0042B">
        <w:t>.</w:t>
      </w:r>
      <w:r w:rsidR="00727991">
        <w:t xml:space="preserve"> Further, important categories of disability</w:t>
      </w:r>
      <w:r w:rsidR="00C02491">
        <w:t xml:space="preserve"> are not explicitly </w:t>
      </w:r>
      <w:r w:rsidR="0052206C">
        <w:t>captured via the HEIMS collection</w:t>
      </w:r>
      <w:r w:rsidR="003314F7">
        <w:t xml:space="preserve"> (notably in relation to mental health)</w:t>
      </w:r>
      <w:r w:rsidR="00191065">
        <w:t>.</w:t>
      </w:r>
      <w:r w:rsidR="0081784E">
        <w:t xml:space="preserve"> </w:t>
      </w:r>
      <w:r w:rsidR="00191065">
        <w:t>N</w:t>
      </w:r>
      <w:r w:rsidR="0052206C">
        <w:t>or is information on external support for students</w:t>
      </w:r>
      <w:r w:rsidR="004438DC">
        <w:t xml:space="preserve">, either in relation to support for learning adjustments at other </w:t>
      </w:r>
      <w:r w:rsidR="00C6160B">
        <w:t xml:space="preserve">settings </w:t>
      </w:r>
      <w:r w:rsidR="00C6160B">
        <w:lastRenderedPageBreak/>
        <w:t>in</w:t>
      </w:r>
      <w:r w:rsidR="004438DC">
        <w:t xml:space="preserve"> education</w:t>
      </w:r>
      <w:r w:rsidR="00191065">
        <w:t>, such</w:t>
      </w:r>
      <w:r w:rsidR="00354394">
        <w:t xml:space="preserve"> as</w:t>
      </w:r>
      <w:r w:rsidR="00191065">
        <w:t xml:space="preserve"> information as data on secondary education via the </w:t>
      </w:r>
      <w:r w:rsidR="00CB11D2" w:rsidRPr="00CB11D2">
        <w:t>Nationally Consistent Collection of Data on School Students with Disability (NCCD)</w:t>
      </w:r>
      <w:r w:rsidR="00CB11D2">
        <w:t xml:space="preserve">, </w:t>
      </w:r>
      <w:r w:rsidR="00BF4C11">
        <w:t xml:space="preserve">or general support through the National Disability Insurance Scheme (NDIS). </w:t>
      </w:r>
    </w:p>
    <w:p w14:paraId="6C36844B" w14:textId="04BD3C96" w:rsidR="0081784E" w:rsidRDefault="0081784E" w:rsidP="005267D3">
      <w:r w:rsidRPr="00984E5C">
        <w:t xml:space="preserve">The new student collection system in higher education, </w:t>
      </w:r>
      <w:r w:rsidR="00A13EFD" w:rsidRPr="00984E5C">
        <w:t xml:space="preserve">the </w:t>
      </w:r>
      <w:r w:rsidR="00804B15" w:rsidRPr="00984E5C">
        <w:t xml:space="preserve">Tertiary Collection of Student Information (TCSI), </w:t>
      </w:r>
      <w:r w:rsidR="00A13EFD" w:rsidRPr="00984E5C">
        <w:t xml:space="preserve">will </w:t>
      </w:r>
      <w:r w:rsidR="00804B15" w:rsidRPr="00984E5C">
        <w:t>address some of these issues</w:t>
      </w:r>
      <w:r w:rsidR="00A13EFD" w:rsidRPr="00984E5C">
        <w:t xml:space="preserve"> as part of its rollout in 2020</w:t>
      </w:r>
      <w:r w:rsidR="00A5523F">
        <w:t>–</w:t>
      </w:r>
      <w:r w:rsidR="00A13EFD" w:rsidRPr="00984E5C">
        <w:t>21</w:t>
      </w:r>
      <w:r w:rsidR="00354394">
        <w:t>.</w:t>
      </w:r>
      <w:r w:rsidR="00614627">
        <w:t xml:space="preserve"> </w:t>
      </w:r>
      <w:r w:rsidR="00354394">
        <w:t>This includes</w:t>
      </w:r>
      <w:r w:rsidR="00614627">
        <w:t xml:space="preserve"> </w:t>
      </w:r>
      <w:r w:rsidR="00354394">
        <w:t xml:space="preserve">the </w:t>
      </w:r>
      <w:r w:rsidR="00614627">
        <w:t>creation of a new disability variable</w:t>
      </w:r>
      <w:r w:rsidR="00FA47F4">
        <w:t xml:space="preserve">: </w:t>
      </w:r>
      <w:r w:rsidR="00761DD4">
        <w:t>“</w:t>
      </w:r>
      <w:r w:rsidR="00B16A1B" w:rsidRPr="00B16A1B">
        <w:t>Disabilit</w:t>
      </w:r>
      <w:r w:rsidR="00761DD4">
        <w:t>y”</w:t>
      </w:r>
      <w:r w:rsidR="00B16A1B" w:rsidRPr="00B16A1B">
        <w:t xml:space="preserve"> (E</w:t>
      </w:r>
      <w:r w:rsidR="00255130">
        <w:t>615</w:t>
      </w:r>
      <w:r w:rsidR="00B16A1B" w:rsidRPr="00B16A1B">
        <w:t>)</w:t>
      </w:r>
      <w:r w:rsidR="00804B15" w:rsidRPr="00984E5C">
        <w:t>.</w:t>
      </w:r>
      <w:r w:rsidR="00A13EFD" w:rsidRPr="00984E5C">
        <w:t xml:space="preserve"> </w:t>
      </w:r>
      <w:r w:rsidR="00FA47F4">
        <w:t>A key change with the new collection is</w:t>
      </w:r>
      <w:r w:rsidR="00A13EFD" w:rsidRPr="00984E5C">
        <w:t xml:space="preserve"> the expansion of </w:t>
      </w:r>
      <w:r w:rsidR="005E4726" w:rsidRPr="00984E5C">
        <w:t>disability definitions to include standardised cate</w:t>
      </w:r>
      <w:r w:rsidR="00706118" w:rsidRPr="00984E5C">
        <w:t>g</w:t>
      </w:r>
      <w:r w:rsidR="005E4726" w:rsidRPr="00984E5C">
        <w:t>ories</w:t>
      </w:r>
      <w:r w:rsidR="00984E5C">
        <w:t xml:space="preserve">, </w:t>
      </w:r>
      <w:r w:rsidR="004C5DB6">
        <w:t xml:space="preserve">specifically </w:t>
      </w:r>
      <w:r w:rsidR="00511CBB">
        <w:t>the</w:t>
      </w:r>
      <w:r w:rsidR="00742061">
        <w:t xml:space="preserve"> creation of new categories from </w:t>
      </w:r>
      <w:r w:rsidR="00255130">
        <w:t>“</w:t>
      </w:r>
      <w:r w:rsidR="00742061">
        <w:t>Other disability</w:t>
      </w:r>
      <w:r w:rsidR="00255130">
        <w:t>”</w:t>
      </w:r>
      <w:r w:rsidR="004C5DB6">
        <w:t xml:space="preserve"> </w:t>
      </w:r>
      <w:r w:rsidR="00DA3177">
        <w:rPr>
          <w:rFonts w:ascii="Engravers MT" w:hAnsi="Engravers MT"/>
        </w:rPr>
        <w:t>—</w:t>
      </w:r>
      <w:r w:rsidR="00DA3177">
        <w:t xml:space="preserve"> </w:t>
      </w:r>
      <w:r w:rsidR="004C5DB6">
        <w:t>including</w:t>
      </w:r>
      <w:r w:rsidR="00BF2C9C">
        <w:t xml:space="preserve"> </w:t>
      </w:r>
      <w:r w:rsidR="00255130">
        <w:t>“</w:t>
      </w:r>
      <w:r w:rsidR="00DA306C">
        <w:t>Specific learning disability</w:t>
      </w:r>
      <w:r w:rsidR="00255130">
        <w:t>”</w:t>
      </w:r>
      <w:r w:rsidR="00DA306C">
        <w:t xml:space="preserve">, </w:t>
      </w:r>
      <w:r w:rsidR="00255130">
        <w:t>“</w:t>
      </w:r>
      <w:r w:rsidR="00DA306C">
        <w:t>M</w:t>
      </w:r>
      <w:r w:rsidR="00BF2C9C">
        <w:t>ental health condition</w:t>
      </w:r>
      <w:r w:rsidR="00255130">
        <w:t>”</w:t>
      </w:r>
      <w:r w:rsidR="00DA306C">
        <w:t xml:space="preserve"> and</w:t>
      </w:r>
      <w:r w:rsidR="00BF2C9C">
        <w:t xml:space="preserve"> </w:t>
      </w:r>
      <w:r w:rsidR="00255130">
        <w:t>“</w:t>
      </w:r>
      <w:r w:rsidR="00DA306C">
        <w:t>A</w:t>
      </w:r>
      <w:r w:rsidR="00BF2C9C">
        <w:t>cquired brain condition</w:t>
      </w:r>
      <w:r w:rsidR="00255130">
        <w:t>”</w:t>
      </w:r>
      <w:r w:rsidR="00DA306C">
        <w:t xml:space="preserve"> </w:t>
      </w:r>
      <w:r w:rsidR="00B07084">
        <w:t>(</w:t>
      </w:r>
      <w:r w:rsidR="00202135" w:rsidRPr="00455FF9">
        <w:t>Commonwealth of Australia</w:t>
      </w:r>
      <w:r w:rsidR="00B07084">
        <w:t>, 2020)</w:t>
      </w:r>
      <w:r w:rsidR="00DA306C">
        <w:t>.</w:t>
      </w:r>
      <w:r w:rsidR="00706118">
        <w:t xml:space="preserve"> </w:t>
      </w:r>
      <w:r w:rsidR="00203CFE">
        <w:t>However, the</w:t>
      </w:r>
      <w:r w:rsidR="00FA47F4">
        <w:t xml:space="preserve"> </w:t>
      </w:r>
      <w:r w:rsidR="00473BD8">
        <w:t>new variable does not collect data on support</w:t>
      </w:r>
      <w:r w:rsidR="003376BB">
        <w:t xml:space="preserve"> service</w:t>
      </w:r>
      <w:r w:rsidR="00AA4511">
        <w:t xml:space="preserve"> requirements</w:t>
      </w:r>
      <w:r w:rsidR="00473BD8">
        <w:t xml:space="preserve"> for students. This means that there will be official coding of this requirement at the national collection level, and therefore no </w:t>
      </w:r>
      <w:r w:rsidR="002C03E5">
        <w:t xml:space="preserve">possibility of </w:t>
      </w:r>
      <w:r w:rsidR="00473BD8">
        <w:t>uniform reporting</w:t>
      </w:r>
      <w:r w:rsidR="00E7660E">
        <w:t xml:space="preserve"> across tertiary education providers. </w:t>
      </w:r>
    </w:p>
    <w:p w14:paraId="1159458A" w14:textId="463EEFD8" w:rsidR="00DD3254" w:rsidRDefault="00934F49" w:rsidP="005267D3">
      <w:r>
        <w:t>The identification of the incidence and impact of disability in h</w:t>
      </w:r>
      <w:r w:rsidR="009B2B01">
        <w:t xml:space="preserve">igher education, and tertiary education in general, </w:t>
      </w:r>
      <w:r>
        <w:t xml:space="preserve">is subject to the constraints identified by the Australian Institute of Health and Welfare in their </w:t>
      </w:r>
      <w:r w:rsidR="00DD3254">
        <w:t>discussion of disability in Australi</w:t>
      </w:r>
      <w:r w:rsidR="005C205C">
        <w:t xml:space="preserve">a: </w:t>
      </w:r>
    </w:p>
    <w:p w14:paraId="4519979F" w14:textId="77777777" w:rsidR="00DD3254" w:rsidRPr="00DD3254" w:rsidRDefault="00DD3254" w:rsidP="00A43206">
      <w:pPr>
        <w:pStyle w:val="Bullet"/>
      </w:pPr>
      <w:r w:rsidRPr="00DD3254">
        <w:t>inconsistent definitions of disability across data sources</w:t>
      </w:r>
    </w:p>
    <w:p w14:paraId="01DA9232" w14:textId="77777777" w:rsidR="00DD3254" w:rsidRPr="00DD3254" w:rsidRDefault="00DD3254" w:rsidP="00A43206">
      <w:pPr>
        <w:pStyle w:val="Bullet"/>
      </w:pPr>
      <w:r w:rsidRPr="00DD3254">
        <w:t>poor adoption of a disability flag to identify people with disability across mainstream data sources</w:t>
      </w:r>
    </w:p>
    <w:p w14:paraId="39273D10" w14:textId="77777777" w:rsidR="00DD3254" w:rsidRPr="00DD3254" w:rsidRDefault="00DD3254" w:rsidP="00A43206">
      <w:pPr>
        <w:pStyle w:val="Bullet"/>
      </w:pPr>
      <w:r w:rsidRPr="00DD3254">
        <w:t>fragmented, dispersed and incomplete data about services used by people with disability (specialist and mainstream)</w:t>
      </w:r>
    </w:p>
    <w:p w14:paraId="315E71CC" w14:textId="77777777" w:rsidR="00DD3254" w:rsidRPr="00DD3254" w:rsidRDefault="00DD3254" w:rsidP="00A43206">
      <w:pPr>
        <w:pStyle w:val="Bullet"/>
      </w:pPr>
      <w:r w:rsidRPr="00DD3254">
        <w:t>inability to reliably report on specific population groups within the broader disability population</w:t>
      </w:r>
    </w:p>
    <w:p w14:paraId="0F406791" w14:textId="77777777" w:rsidR="00DD3254" w:rsidRPr="00DD3254" w:rsidRDefault="00DD3254" w:rsidP="00A43206">
      <w:pPr>
        <w:pStyle w:val="Bullet"/>
      </w:pPr>
      <w:r w:rsidRPr="00DD3254">
        <w:t>availability of relevant data collected but not collated or otherwise available for statistical purposes</w:t>
      </w:r>
    </w:p>
    <w:p w14:paraId="5280616A" w14:textId="77777777" w:rsidR="0042777A" w:rsidRDefault="00DD3254" w:rsidP="00A43206">
      <w:pPr>
        <w:pStyle w:val="Bullet"/>
      </w:pPr>
      <w:r w:rsidRPr="00DD3254">
        <w:t>limited integration of data across settings and life area domains to examine pathways and outcomes for people with disability</w:t>
      </w:r>
      <w:r w:rsidR="005C205C">
        <w:t>.</w:t>
      </w:r>
    </w:p>
    <w:p w14:paraId="34D1F1F4" w14:textId="3D5A24D2" w:rsidR="00DD3254" w:rsidRPr="0042777A" w:rsidRDefault="005C205C" w:rsidP="0094472F">
      <w:pPr>
        <w:jc w:val="right"/>
      </w:pPr>
      <w:r w:rsidRPr="0042777A">
        <w:t>(Australian Institute of Health and Welfare, 20</w:t>
      </w:r>
      <w:r w:rsidR="009B2BAB">
        <w:t>19</w:t>
      </w:r>
      <w:r w:rsidRPr="0042777A">
        <w:t xml:space="preserve">) </w:t>
      </w:r>
    </w:p>
    <w:p w14:paraId="48CD6850" w14:textId="3AF5E68C" w:rsidR="00095F44" w:rsidRPr="0042777A" w:rsidRDefault="007957C1" w:rsidP="005267D3">
      <w:r>
        <w:t xml:space="preserve">A </w:t>
      </w:r>
      <w:r w:rsidR="00D07895">
        <w:t>welcome</w:t>
      </w:r>
      <w:r>
        <w:t xml:space="preserve"> outco</w:t>
      </w:r>
      <w:r w:rsidR="00D07895">
        <w:t>me</w:t>
      </w:r>
      <w:r>
        <w:t xml:space="preserve"> from the Review would be the initiation of a new project looking at </w:t>
      </w:r>
      <w:r w:rsidR="00450B34">
        <w:t xml:space="preserve">higher levels of data integration between the education, health and social service sectors. </w:t>
      </w:r>
      <w:r w:rsidR="00705365">
        <w:t xml:space="preserve">Suitable data </w:t>
      </w:r>
      <w:r w:rsidR="00590DFD">
        <w:t xml:space="preserve">on </w:t>
      </w:r>
      <w:r w:rsidR="00705365">
        <w:t>disability and support requirements could be accessed from</w:t>
      </w:r>
      <w:r w:rsidR="00CB1B3A">
        <w:t xml:space="preserve"> national collections</w:t>
      </w:r>
      <w:r w:rsidR="00590DFD">
        <w:t xml:space="preserve"> via the </w:t>
      </w:r>
      <w:r w:rsidR="00590DFD" w:rsidRPr="006368B1">
        <w:t>Council of Australian Governments</w:t>
      </w:r>
      <w:r w:rsidR="00590DFD">
        <w:t>’</w:t>
      </w:r>
      <w:r w:rsidR="00590DFD" w:rsidRPr="006368B1">
        <w:t xml:space="preserve"> (COAG)</w:t>
      </w:r>
      <w:r w:rsidR="00590DFD">
        <w:t xml:space="preserve"> initiative</w:t>
      </w:r>
      <w:r w:rsidR="00590DFD" w:rsidRPr="006368B1">
        <w:t xml:space="preserve"> </w:t>
      </w:r>
      <w:r w:rsidR="00590DFD">
        <w:t xml:space="preserve">to establish the </w:t>
      </w:r>
      <w:r w:rsidR="00590DFD" w:rsidRPr="007C002D">
        <w:t>National Disability Data Asset</w:t>
      </w:r>
      <w:r w:rsidR="00590DFD" w:rsidRPr="006368B1">
        <w:t xml:space="preserve"> (NDDA)</w:t>
      </w:r>
      <w:r w:rsidR="00590DFD">
        <w:t xml:space="preserve">. The NDDA will </w:t>
      </w:r>
      <w:r w:rsidR="00DB7DA8">
        <w:t xml:space="preserve">enable </w:t>
      </w:r>
      <w:r w:rsidR="00590DFD">
        <w:t>a greater level of integration in policy and resourcing decision-making across government (Department of Social Sciences, 2020)</w:t>
      </w:r>
      <w:r w:rsidR="00DB7DA8">
        <w:t>.</w:t>
      </w:r>
      <w:r w:rsidR="001C6937">
        <w:t xml:space="preserve"> A potential starting point for </w:t>
      </w:r>
      <w:r w:rsidR="00590DFD">
        <w:t>utilising NDDA data in education is recommendation</w:t>
      </w:r>
      <w:r w:rsidR="001C6937">
        <w:t xml:space="preserve"> from the</w:t>
      </w:r>
      <w:r w:rsidR="00965FCC">
        <w:t xml:space="preserve"> recent </w:t>
      </w:r>
      <w:r w:rsidR="00965FCC">
        <w:rPr>
          <w:i/>
        </w:rPr>
        <w:t>Review of Se</w:t>
      </w:r>
      <w:r w:rsidR="00095F44">
        <w:rPr>
          <w:i/>
        </w:rPr>
        <w:t>nior Se</w:t>
      </w:r>
      <w:r w:rsidR="00965FCC">
        <w:rPr>
          <w:i/>
        </w:rPr>
        <w:t>condary</w:t>
      </w:r>
      <w:r w:rsidR="00095F44">
        <w:rPr>
          <w:i/>
        </w:rPr>
        <w:t xml:space="preserve"> </w:t>
      </w:r>
      <w:r w:rsidR="00095F44">
        <w:rPr>
          <w:i/>
        </w:rPr>
        <w:lastRenderedPageBreak/>
        <w:t>Pathways into Work, Further Education and Training</w:t>
      </w:r>
      <w:r w:rsidR="0064277C">
        <w:rPr>
          <w:i/>
        </w:rPr>
        <w:t xml:space="preserve"> </w:t>
      </w:r>
      <w:r w:rsidR="0064277C">
        <w:t>(</w:t>
      </w:r>
      <w:r w:rsidR="00255130">
        <w:t>“</w:t>
      </w:r>
      <w:r w:rsidR="0064277C">
        <w:t>Review of Senior Secondary Pathways</w:t>
      </w:r>
      <w:r w:rsidR="00255130">
        <w:t>”</w:t>
      </w:r>
      <w:r w:rsidR="0064277C">
        <w:t>)</w:t>
      </w:r>
      <w:r w:rsidR="00095F44">
        <w:t>, which called for the establishment of a unique student identifier (USI) in its recommendation</w:t>
      </w:r>
      <w:r w:rsidR="00121392">
        <w:t xml:space="preserve">s to government </w:t>
      </w:r>
      <w:r w:rsidR="00095F44">
        <w:t>(Education Services Australia, 2020</w:t>
      </w:r>
      <w:r w:rsidR="008F3D0E">
        <w:t xml:space="preserve">, </w:t>
      </w:r>
      <w:r w:rsidR="00095F44">
        <w:t>p</w:t>
      </w:r>
      <w:r w:rsidR="00690FDB">
        <w:t>.</w:t>
      </w:r>
      <w:r w:rsidR="0094472F">
        <w:t xml:space="preserve"> </w:t>
      </w:r>
      <w:r w:rsidR="00121392">
        <w:t>22</w:t>
      </w:r>
      <w:r w:rsidR="00690FDB">
        <w:t>)</w:t>
      </w:r>
      <w:r w:rsidR="00095F44">
        <w:t>.</w:t>
      </w:r>
    </w:p>
    <w:p w14:paraId="70C0CC43" w14:textId="31CE46D0" w:rsidR="007F5024" w:rsidRDefault="007F5024" w:rsidP="003C7447">
      <w:pPr>
        <w:pBdr>
          <w:left w:val="single" w:sz="4" w:space="4" w:color="auto"/>
        </w:pBdr>
        <w:spacing w:before="360"/>
        <w:ind w:left="720"/>
      </w:pPr>
      <w:r w:rsidRPr="00C55E9C">
        <w:rPr>
          <w:b/>
          <w:bCs/>
        </w:rPr>
        <w:t xml:space="preserve">Recommendation 4: </w:t>
      </w:r>
      <w:r w:rsidRPr="00C55E9C">
        <w:t>That the Standards encourage the consistent identification of disability in Australian education, both within and outside higher education and in view of the proposed development of a Unique Student Identifier for Australian education.</w:t>
      </w:r>
    </w:p>
    <w:p w14:paraId="7219A498" w14:textId="161175EF" w:rsidR="003D207B" w:rsidRDefault="003D207B" w:rsidP="005267D3">
      <w:pPr>
        <w:pStyle w:val="Heading1"/>
      </w:pPr>
      <w:bookmarkStart w:id="9" w:name="_Toc51830723"/>
      <w:r>
        <w:t xml:space="preserve">Key Issues in Creating and Enforcing </w:t>
      </w:r>
      <w:r w:rsidR="00EB4EBA">
        <w:t xml:space="preserve">Standards </w:t>
      </w:r>
      <w:r>
        <w:t>in Higher Education</w:t>
      </w:r>
      <w:bookmarkEnd w:id="9"/>
    </w:p>
    <w:p w14:paraId="7A72BE88" w14:textId="7A9AF140" w:rsidR="006806A8" w:rsidRDefault="00A2546A" w:rsidP="005267D3">
      <w:r>
        <w:t>The underrepresentation of people with disability in higher education reflects</w:t>
      </w:r>
      <w:r w:rsidR="00C06A10">
        <w:t xml:space="preserve"> relatively diminished educational outcomes </w:t>
      </w:r>
      <w:r w:rsidR="008032F2">
        <w:t>generally</w:t>
      </w:r>
      <w:r w:rsidR="00FA2C14">
        <w:t>,</w:t>
      </w:r>
      <w:r w:rsidR="008032F2">
        <w:t xml:space="preserve"> </w:t>
      </w:r>
      <w:r w:rsidR="00FA2C14">
        <w:t>but</w:t>
      </w:r>
      <w:r w:rsidR="008032F2">
        <w:t xml:space="preserve"> also influences labour force outcomes. </w:t>
      </w:r>
    </w:p>
    <w:p w14:paraId="35FCA092" w14:textId="52EF7CFA" w:rsidR="00FA2E2B" w:rsidRDefault="00FA2C14" w:rsidP="005267D3">
      <w:r>
        <w:t>Year 12 completion is markedly lower for people with disability, with only 64 per cent</w:t>
      </w:r>
      <w:r w:rsidR="008032F2">
        <w:t xml:space="preserve"> </w:t>
      </w:r>
      <w:r>
        <w:t>of people with a disability aged 20 to 24 having completed Year 12 in 2018</w:t>
      </w:r>
      <w:r w:rsidR="00900935">
        <w:t xml:space="preserve">, compared to 81 per cent of people without a disability. </w:t>
      </w:r>
      <w:r w:rsidR="00CF2207">
        <w:t>This observed underperformance in terms of attainment at the secondary level only</w:t>
      </w:r>
      <w:r w:rsidR="00F114D6">
        <w:t xml:space="preserve"> increases in higher education, with people</w:t>
      </w:r>
      <w:r w:rsidR="008F2CC1">
        <w:t xml:space="preserve"> over the age of 20</w:t>
      </w:r>
      <w:r w:rsidR="00F114D6">
        <w:t xml:space="preserve"> with disability </w:t>
      </w:r>
      <w:r w:rsidR="008F2CC1">
        <w:t>attaining bachelor or higher</w:t>
      </w:r>
      <w:r w:rsidR="00E94615">
        <w:t xml:space="preserve"> degree qualifi</w:t>
      </w:r>
      <w:r w:rsidR="008F2CC1">
        <w:t xml:space="preserve">cations at a </w:t>
      </w:r>
      <w:r w:rsidR="00DD1354">
        <w:t xml:space="preserve">rate around half of that of the </w:t>
      </w:r>
      <w:r w:rsidR="008B50F0">
        <w:t>people without disability</w:t>
      </w:r>
      <w:r w:rsidR="00DD1354">
        <w:t xml:space="preserve"> (15 </w:t>
      </w:r>
      <w:r w:rsidR="0080218C">
        <w:t xml:space="preserve">per cent </w:t>
      </w:r>
      <w:r w:rsidR="00DD1354">
        <w:t xml:space="preserve">compared to 31 per cent) </w:t>
      </w:r>
      <w:r w:rsidR="0080218C">
        <w:rPr>
          <w:rFonts w:ascii="Engravers MT" w:hAnsi="Engravers MT"/>
        </w:rPr>
        <w:t>—</w:t>
      </w:r>
      <w:r w:rsidR="0080218C">
        <w:t xml:space="preserve"> </w:t>
      </w:r>
      <w:r w:rsidR="00DD1354">
        <w:t xml:space="preserve">a rate that has improved with recent increases in </w:t>
      </w:r>
      <w:r w:rsidR="006806A8">
        <w:t xml:space="preserve">higher education participation. </w:t>
      </w:r>
      <w:r w:rsidR="00FA2E2B">
        <w:t xml:space="preserve"> </w:t>
      </w:r>
    </w:p>
    <w:p w14:paraId="57A2215C" w14:textId="14EE09E1" w:rsidR="0070090D" w:rsidRDefault="00FA2E2B" w:rsidP="005267D3">
      <w:r>
        <w:t>Workforce outcomes, a particular area of focus for post-secondary education providers, show similar levels of outcome gaps, with people with disability</w:t>
      </w:r>
      <w:r w:rsidR="00E57CEA">
        <w:t xml:space="preserve"> experiencing</w:t>
      </w:r>
      <w:r>
        <w:t xml:space="preserve"> workforce participation rates of 53 per cent compared with 84 per cent for people without disability. In addition, people with disability see rates of full-time work participation that are half, and unemployment rates that are double, those of people without disability.</w:t>
      </w:r>
      <w:r w:rsidR="00CF2207">
        <w:t xml:space="preserve"> </w:t>
      </w:r>
    </w:p>
    <w:p w14:paraId="0AFDC56C" w14:textId="77777777" w:rsidR="0070090D" w:rsidRDefault="0070090D">
      <w:r>
        <w:br w:type="page"/>
      </w:r>
    </w:p>
    <w:p w14:paraId="50FBF81C" w14:textId="4852C6FE" w:rsidR="00C94553" w:rsidRDefault="00C94553" w:rsidP="005267D3">
      <w:pPr>
        <w:pStyle w:val="TableHeading"/>
      </w:pPr>
      <w:r w:rsidRPr="00555170">
        <w:lastRenderedPageBreak/>
        <w:t xml:space="preserve">Table </w:t>
      </w:r>
      <w:r>
        <w:t>3</w:t>
      </w:r>
      <w:r w:rsidRPr="00555170">
        <w:t xml:space="preserve">: </w:t>
      </w:r>
      <w:r>
        <w:t xml:space="preserve">Education and Workforce Outcomes, People with Disability and People without </w:t>
      </w:r>
      <w:r w:rsidR="00806ECE">
        <w:br/>
      </w:r>
      <w:r>
        <w:t xml:space="preserve">Disability, </w:t>
      </w:r>
      <w:r w:rsidR="00900935">
        <w:t>various years.</w:t>
      </w:r>
    </w:p>
    <w:tbl>
      <w:tblPr>
        <w:tblW w:w="8931" w:type="dxa"/>
        <w:tblLayout w:type="fixed"/>
        <w:tblLook w:val="04A0" w:firstRow="1" w:lastRow="0" w:firstColumn="1" w:lastColumn="0" w:noHBand="0" w:noVBand="1"/>
        <w:tblCaption w:val="Table 14"/>
        <w:tblDescription w:val="Student Equity Enrolments and Enrolment Shares, Table A and B Providers, 2013–18a "/>
      </w:tblPr>
      <w:tblGrid>
        <w:gridCol w:w="4536"/>
        <w:gridCol w:w="1985"/>
        <w:gridCol w:w="2410"/>
      </w:tblGrid>
      <w:tr w:rsidR="00806ECE" w:rsidRPr="003E1EBA" w14:paraId="03F084C8" w14:textId="77777777" w:rsidTr="00E977C7">
        <w:trPr>
          <w:trHeight w:hRule="exact" w:val="604"/>
        </w:trPr>
        <w:tc>
          <w:tcPr>
            <w:tcW w:w="4536" w:type="dxa"/>
            <w:tcBorders>
              <w:top w:val="nil"/>
              <w:left w:val="nil"/>
              <w:bottom w:val="single" w:sz="8" w:space="0" w:color="D9D9D9"/>
              <w:right w:val="single" w:sz="8" w:space="0" w:color="D9D9D9"/>
            </w:tcBorders>
            <w:shd w:val="clear" w:color="auto" w:fill="auto"/>
            <w:noWrap/>
            <w:vAlign w:val="center"/>
          </w:tcPr>
          <w:p w14:paraId="6D6A3B3C" w14:textId="77777777" w:rsidR="00C94553" w:rsidRPr="00E977C7" w:rsidRDefault="00C94553" w:rsidP="005267D3">
            <w:pPr>
              <w:rPr>
                <w:b/>
                <w:sz w:val="20"/>
                <w:szCs w:val="20"/>
                <w:lang w:eastAsia="en-AU"/>
              </w:rPr>
            </w:pPr>
          </w:p>
        </w:tc>
        <w:tc>
          <w:tcPr>
            <w:tcW w:w="1985"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1F6F70AC" w14:textId="0C797F5C" w:rsidR="00C94553" w:rsidRPr="00E977C7" w:rsidRDefault="00C94553" w:rsidP="00E977C7">
            <w:pPr>
              <w:spacing w:line="240" w:lineRule="auto"/>
              <w:jc w:val="center"/>
              <w:rPr>
                <w:b/>
                <w:color w:val="FFFFFF" w:themeColor="background1"/>
                <w:sz w:val="20"/>
                <w:szCs w:val="20"/>
                <w:lang w:eastAsia="en-AU"/>
              </w:rPr>
            </w:pPr>
            <w:r w:rsidRPr="00E977C7">
              <w:rPr>
                <w:b/>
                <w:color w:val="FFFFFF" w:themeColor="background1"/>
                <w:sz w:val="20"/>
                <w:szCs w:val="20"/>
                <w:lang w:eastAsia="en-AU"/>
              </w:rPr>
              <w:t xml:space="preserve">Disability </w:t>
            </w:r>
            <w:r w:rsidR="00FB0CAC" w:rsidRPr="00E977C7">
              <w:rPr>
                <w:b/>
                <w:color w:val="FFFFFF" w:themeColor="background1"/>
                <w:sz w:val="20"/>
                <w:szCs w:val="20"/>
                <w:lang w:eastAsia="en-AU"/>
              </w:rPr>
              <w:br/>
            </w:r>
            <w:r w:rsidRPr="00E977C7">
              <w:rPr>
                <w:b/>
                <w:color w:val="FFFFFF" w:themeColor="background1"/>
                <w:sz w:val="20"/>
                <w:szCs w:val="20"/>
                <w:lang w:eastAsia="en-AU"/>
              </w:rPr>
              <w:t>%</w:t>
            </w:r>
          </w:p>
        </w:tc>
        <w:tc>
          <w:tcPr>
            <w:tcW w:w="2410"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11424457" w14:textId="1754C2CE" w:rsidR="00C94553" w:rsidRPr="00E977C7" w:rsidRDefault="00A85B84" w:rsidP="00E977C7">
            <w:pPr>
              <w:spacing w:line="240" w:lineRule="auto"/>
              <w:jc w:val="center"/>
              <w:rPr>
                <w:b/>
                <w:color w:val="FFFFFF" w:themeColor="background1"/>
                <w:sz w:val="20"/>
                <w:szCs w:val="20"/>
                <w:lang w:eastAsia="en-AU"/>
              </w:rPr>
            </w:pPr>
            <w:r w:rsidRPr="00E977C7">
              <w:rPr>
                <w:b/>
                <w:color w:val="FFFFFF" w:themeColor="background1"/>
                <w:sz w:val="20"/>
                <w:szCs w:val="20"/>
                <w:lang w:eastAsia="en-AU"/>
              </w:rPr>
              <w:t xml:space="preserve">Without </w:t>
            </w:r>
            <w:r w:rsidR="00C94553" w:rsidRPr="00E977C7">
              <w:rPr>
                <w:b/>
                <w:color w:val="FFFFFF" w:themeColor="background1"/>
                <w:sz w:val="20"/>
                <w:szCs w:val="20"/>
                <w:lang w:eastAsia="en-AU"/>
              </w:rPr>
              <w:t xml:space="preserve">Disability </w:t>
            </w:r>
            <w:r w:rsidR="00FB0CAC" w:rsidRPr="00E977C7">
              <w:rPr>
                <w:b/>
                <w:color w:val="FFFFFF" w:themeColor="background1"/>
                <w:sz w:val="20"/>
                <w:szCs w:val="20"/>
                <w:lang w:eastAsia="en-AU"/>
              </w:rPr>
              <w:br/>
            </w:r>
            <w:r w:rsidR="00C94553" w:rsidRPr="00E977C7">
              <w:rPr>
                <w:b/>
                <w:color w:val="FFFFFF" w:themeColor="background1"/>
                <w:sz w:val="20"/>
                <w:szCs w:val="20"/>
                <w:lang w:eastAsia="en-AU"/>
              </w:rPr>
              <w:t>%</w:t>
            </w:r>
          </w:p>
        </w:tc>
      </w:tr>
      <w:tr w:rsidR="00806ECE" w:rsidRPr="003E1EBA" w14:paraId="064D3F69" w14:textId="77777777" w:rsidTr="00E977C7">
        <w:trPr>
          <w:trHeight w:hRule="exact" w:val="312"/>
        </w:trPr>
        <w:tc>
          <w:tcPr>
            <w:tcW w:w="4536" w:type="dxa"/>
            <w:tcBorders>
              <w:top w:val="nil"/>
              <w:left w:val="single" w:sz="8" w:space="0" w:color="D9D9D9"/>
              <w:bottom w:val="single" w:sz="8" w:space="0" w:color="D9D9D9"/>
              <w:right w:val="single" w:sz="8" w:space="0" w:color="D9D9D9"/>
            </w:tcBorders>
            <w:shd w:val="clear" w:color="000000" w:fill="FFF6E0"/>
            <w:noWrap/>
            <w:vAlign w:val="center"/>
          </w:tcPr>
          <w:p w14:paraId="6C91B52C" w14:textId="04CF1CDD" w:rsidR="00B740FF" w:rsidRPr="00E977C7" w:rsidRDefault="00B740FF" w:rsidP="005267D3">
            <w:pPr>
              <w:rPr>
                <w:b/>
                <w:sz w:val="20"/>
                <w:szCs w:val="20"/>
                <w:lang w:eastAsia="en-AU"/>
              </w:rPr>
            </w:pPr>
            <w:r w:rsidRPr="00E977C7">
              <w:rPr>
                <w:b/>
                <w:sz w:val="20"/>
                <w:szCs w:val="20"/>
                <w:lang w:eastAsia="en-AU"/>
              </w:rPr>
              <w:t>Education</w:t>
            </w:r>
            <w:r w:rsidR="00585545" w:rsidRPr="00E977C7">
              <w:rPr>
                <w:b/>
                <w:sz w:val="20"/>
                <w:szCs w:val="20"/>
                <w:vertAlign w:val="superscript"/>
                <w:lang w:eastAsia="en-AU"/>
              </w:rPr>
              <w:t>1</w:t>
            </w:r>
            <w:r w:rsidRPr="00E977C7">
              <w:rPr>
                <w:b/>
                <w:sz w:val="20"/>
                <w:szCs w:val="20"/>
                <w:lang w:eastAsia="en-AU"/>
              </w:rPr>
              <w:t xml:space="preserve"> </w:t>
            </w:r>
          </w:p>
        </w:tc>
        <w:tc>
          <w:tcPr>
            <w:tcW w:w="1985" w:type="dxa"/>
            <w:tcBorders>
              <w:top w:val="nil"/>
              <w:left w:val="nil"/>
              <w:bottom w:val="single" w:sz="8" w:space="0" w:color="D9D9D9"/>
              <w:right w:val="single" w:sz="8" w:space="0" w:color="D9D9D9"/>
            </w:tcBorders>
            <w:shd w:val="clear" w:color="000000" w:fill="FFF6E0"/>
            <w:noWrap/>
            <w:vAlign w:val="center"/>
          </w:tcPr>
          <w:p w14:paraId="2CE04CD3" w14:textId="37666DA4" w:rsidR="00B740FF" w:rsidRPr="00E977C7" w:rsidRDefault="00B740FF" w:rsidP="005267D3">
            <w:pPr>
              <w:rPr>
                <w:b/>
                <w:sz w:val="20"/>
                <w:szCs w:val="20"/>
                <w:lang w:eastAsia="en-AU"/>
              </w:rPr>
            </w:pPr>
          </w:p>
        </w:tc>
        <w:tc>
          <w:tcPr>
            <w:tcW w:w="2410" w:type="dxa"/>
            <w:tcBorders>
              <w:top w:val="nil"/>
              <w:left w:val="nil"/>
              <w:bottom w:val="single" w:sz="8" w:space="0" w:color="D9D9D9"/>
              <w:right w:val="single" w:sz="8" w:space="0" w:color="D9D9D9"/>
            </w:tcBorders>
            <w:shd w:val="clear" w:color="000000" w:fill="FFF6E0"/>
            <w:noWrap/>
            <w:vAlign w:val="center"/>
          </w:tcPr>
          <w:p w14:paraId="33F00D99" w14:textId="24ADB787" w:rsidR="00B740FF" w:rsidRPr="00E977C7" w:rsidRDefault="00B740FF" w:rsidP="005267D3">
            <w:pPr>
              <w:rPr>
                <w:b/>
                <w:sz w:val="20"/>
                <w:szCs w:val="20"/>
                <w:lang w:eastAsia="en-AU"/>
              </w:rPr>
            </w:pPr>
          </w:p>
        </w:tc>
      </w:tr>
      <w:tr w:rsidR="00272276" w:rsidRPr="003E1EBA" w14:paraId="016FAA77" w14:textId="77777777" w:rsidTr="00E977C7">
        <w:trPr>
          <w:trHeight w:hRule="exact" w:val="312"/>
        </w:trPr>
        <w:tc>
          <w:tcPr>
            <w:tcW w:w="4536" w:type="dxa"/>
            <w:tcBorders>
              <w:top w:val="nil"/>
              <w:left w:val="single" w:sz="8" w:space="0" w:color="D9D9D9"/>
              <w:bottom w:val="single" w:sz="8" w:space="0" w:color="D9D9D9"/>
              <w:right w:val="single" w:sz="8" w:space="0" w:color="D9D9D9"/>
            </w:tcBorders>
            <w:shd w:val="clear" w:color="000000" w:fill="FFFFFF"/>
            <w:noWrap/>
            <w:vAlign w:val="center"/>
          </w:tcPr>
          <w:p w14:paraId="5C86559E" w14:textId="47C3C043" w:rsidR="00272276" w:rsidRPr="00E977C7" w:rsidRDefault="00272276" w:rsidP="005267D3">
            <w:pPr>
              <w:rPr>
                <w:i/>
                <w:iCs/>
                <w:sz w:val="20"/>
                <w:szCs w:val="20"/>
                <w:lang w:eastAsia="en-AU"/>
              </w:rPr>
            </w:pPr>
            <w:r w:rsidRPr="00E977C7">
              <w:rPr>
                <w:sz w:val="20"/>
                <w:szCs w:val="20"/>
                <w:lang w:eastAsia="en-AU"/>
              </w:rPr>
              <w:t>Year 12 Completion, People aged 20 to 24</w:t>
            </w:r>
          </w:p>
        </w:tc>
        <w:tc>
          <w:tcPr>
            <w:tcW w:w="1985" w:type="dxa"/>
            <w:tcBorders>
              <w:top w:val="nil"/>
              <w:left w:val="nil"/>
              <w:bottom w:val="single" w:sz="8" w:space="0" w:color="D9D9D9"/>
              <w:right w:val="single" w:sz="8" w:space="0" w:color="D9D9D9"/>
            </w:tcBorders>
            <w:shd w:val="clear" w:color="000000" w:fill="FFFFFF"/>
            <w:noWrap/>
            <w:vAlign w:val="center"/>
          </w:tcPr>
          <w:p w14:paraId="288F6A43" w14:textId="680A90DB" w:rsidR="00272276" w:rsidRPr="00E977C7" w:rsidRDefault="00272276" w:rsidP="00A364F0">
            <w:pPr>
              <w:jc w:val="center"/>
              <w:rPr>
                <w:i/>
                <w:iCs/>
                <w:sz w:val="20"/>
                <w:szCs w:val="20"/>
                <w:lang w:eastAsia="en-AU"/>
              </w:rPr>
            </w:pPr>
            <w:r w:rsidRPr="00E977C7">
              <w:rPr>
                <w:sz w:val="20"/>
                <w:szCs w:val="20"/>
                <w:lang w:eastAsia="en-AU"/>
              </w:rPr>
              <w:t>64</w:t>
            </w:r>
          </w:p>
        </w:tc>
        <w:tc>
          <w:tcPr>
            <w:tcW w:w="2410" w:type="dxa"/>
            <w:tcBorders>
              <w:top w:val="nil"/>
              <w:left w:val="nil"/>
              <w:bottom w:val="single" w:sz="8" w:space="0" w:color="D9D9D9"/>
              <w:right w:val="single" w:sz="8" w:space="0" w:color="D9D9D9"/>
            </w:tcBorders>
            <w:shd w:val="clear" w:color="000000" w:fill="FFFFFF"/>
            <w:noWrap/>
            <w:vAlign w:val="center"/>
          </w:tcPr>
          <w:p w14:paraId="20EC5A58" w14:textId="7864189E" w:rsidR="00272276" w:rsidRPr="00E977C7" w:rsidRDefault="00272276" w:rsidP="00A364F0">
            <w:pPr>
              <w:jc w:val="center"/>
              <w:rPr>
                <w:i/>
                <w:iCs/>
                <w:sz w:val="20"/>
                <w:szCs w:val="20"/>
                <w:lang w:eastAsia="en-AU"/>
              </w:rPr>
            </w:pPr>
            <w:r w:rsidRPr="00E977C7">
              <w:rPr>
                <w:sz w:val="20"/>
                <w:szCs w:val="20"/>
                <w:lang w:eastAsia="en-AU"/>
              </w:rPr>
              <w:t>81</w:t>
            </w:r>
          </w:p>
        </w:tc>
      </w:tr>
      <w:tr w:rsidR="00272276" w:rsidRPr="003E1EBA" w14:paraId="326EA218" w14:textId="77777777" w:rsidTr="00A364F0">
        <w:trPr>
          <w:trHeight w:hRule="exact" w:val="649"/>
        </w:trPr>
        <w:tc>
          <w:tcPr>
            <w:tcW w:w="4536" w:type="dxa"/>
            <w:tcBorders>
              <w:top w:val="nil"/>
              <w:left w:val="single" w:sz="8" w:space="0" w:color="D9D9D9"/>
              <w:bottom w:val="single" w:sz="8" w:space="0" w:color="D9D9D9"/>
              <w:right w:val="single" w:sz="8" w:space="0" w:color="D9D9D9"/>
            </w:tcBorders>
            <w:shd w:val="clear" w:color="000000" w:fill="FFF6E0"/>
            <w:noWrap/>
            <w:vAlign w:val="center"/>
          </w:tcPr>
          <w:p w14:paraId="33EB4FF4" w14:textId="7361E5B0" w:rsidR="00272276" w:rsidRPr="00E977C7" w:rsidRDefault="00272276" w:rsidP="005267D3">
            <w:pPr>
              <w:rPr>
                <w:b/>
                <w:bCs/>
                <w:sz w:val="20"/>
                <w:szCs w:val="20"/>
                <w:lang w:eastAsia="en-AU"/>
              </w:rPr>
            </w:pPr>
            <w:r w:rsidRPr="00E977C7">
              <w:rPr>
                <w:sz w:val="20"/>
                <w:szCs w:val="20"/>
                <w:lang w:eastAsia="en-AU"/>
              </w:rPr>
              <w:t xml:space="preserve">Attainment of bachelor degree or higher, </w:t>
            </w:r>
            <w:r w:rsidRPr="00E977C7">
              <w:rPr>
                <w:sz w:val="20"/>
                <w:szCs w:val="20"/>
                <w:lang w:eastAsia="en-AU"/>
              </w:rPr>
              <w:br/>
              <w:t>People aged over 20</w:t>
            </w:r>
          </w:p>
        </w:tc>
        <w:tc>
          <w:tcPr>
            <w:tcW w:w="1985" w:type="dxa"/>
            <w:tcBorders>
              <w:top w:val="nil"/>
              <w:left w:val="nil"/>
              <w:bottom w:val="single" w:sz="8" w:space="0" w:color="D9D9D9"/>
              <w:right w:val="single" w:sz="8" w:space="0" w:color="D9D9D9"/>
            </w:tcBorders>
            <w:shd w:val="clear" w:color="000000" w:fill="FFF6E0"/>
            <w:noWrap/>
            <w:vAlign w:val="center"/>
          </w:tcPr>
          <w:p w14:paraId="65670A5F" w14:textId="285C84B2" w:rsidR="00272276" w:rsidRPr="00E977C7" w:rsidRDefault="00272276" w:rsidP="00A364F0">
            <w:pPr>
              <w:jc w:val="center"/>
              <w:rPr>
                <w:sz w:val="20"/>
                <w:szCs w:val="20"/>
                <w:lang w:eastAsia="en-AU"/>
              </w:rPr>
            </w:pPr>
            <w:r w:rsidRPr="00E977C7">
              <w:rPr>
                <w:sz w:val="20"/>
                <w:szCs w:val="20"/>
                <w:lang w:eastAsia="en-AU"/>
              </w:rPr>
              <w:t>15</w:t>
            </w:r>
          </w:p>
        </w:tc>
        <w:tc>
          <w:tcPr>
            <w:tcW w:w="2410" w:type="dxa"/>
            <w:tcBorders>
              <w:top w:val="nil"/>
              <w:left w:val="nil"/>
              <w:bottom w:val="single" w:sz="8" w:space="0" w:color="D9D9D9"/>
              <w:right w:val="single" w:sz="8" w:space="0" w:color="D9D9D9"/>
            </w:tcBorders>
            <w:shd w:val="clear" w:color="000000" w:fill="FFF6E0"/>
            <w:noWrap/>
            <w:vAlign w:val="center"/>
          </w:tcPr>
          <w:p w14:paraId="3D05D5D6" w14:textId="2BC32B43" w:rsidR="00272276" w:rsidRPr="00E977C7" w:rsidRDefault="00272276" w:rsidP="00A364F0">
            <w:pPr>
              <w:jc w:val="center"/>
              <w:rPr>
                <w:sz w:val="20"/>
                <w:szCs w:val="20"/>
                <w:lang w:eastAsia="en-AU"/>
              </w:rPr>
            </w:pPr>
            <w:r w:rsidRPr="00E977C7">
              <w:rPr>
                <w:sz w:val="20"/>
                <w:szCs w:val="20"/>
                <w:lang w:eastAsia="en-AU"/>
              </w:rPr>
              <w:t>31</w:t>
            </w:r>
          </w:p>
        </w:tc>
      </w:tr>
      <w:tr w:rsidR="00272276" w:rsidRPr="003E1EBA" w14:paraId="06B880E5" w14:textId="77777777" w:rsidTr="00E977C7">
        <w:trPr>
          <w:trHeight w:hRule="exact" w:val="312"/>
        </w:trPr>
        <w:tc>
          <w:tcPr>
            <w:tcW w:w="4536" w:type="dxa"/>
            <w:tcBorders>
              <w:top w:val="nil"/>
              <w:left w:val="single" w:sz="8" w:space="0" w:color="D9D9D9"/>
              <w:bottom w:val="single" w:sz="8" w:space="0" w:color="D9D9D9"/>
              <w:right w:val="single" w:sz="8" w:space="0" w:color="D9D9D9"/>
            </w:tcBorders>
            <w:shd w:val="clear" w:color="000000" w:fill="FFFFFF"/>
            <w:noWrap/>
          </w:tcPr>
          <w:p w14:paraId="594D39F9" w14:textId="10381003" w:rsidR="00272276" w:rsidRPr="00E977C7" w:rsidRDefault="00272276" w:rsidP="005267D3">
            <w:pPr>
              <w:rPr>
                <w:sz w:val="20"/>
                <w:szCs w:val="20"/>
                <w:lang w:eastAsia="en-AU"/>
              </w:rPr>
            </w:pPr>
          </w:p>
        </w:tc>
        <w:tc>
          <w:tcPr>
            <w:tcW w:w="1985" w:type="dxa"/>
            <w:tcBorders>
              <w:top w:val="nil"/>
              <w:left w:val="nil"/>
              <w:bottom w:val="single" w:sz="8" w:space="0" w:color="D9D9D9"/>
              <w:right w:val="single" w:sz="8" w:space="0" w:color="D9D9D9"/>
            </w:tcBorders>
            <w:shd w:val="clear" w:color="000000" w:fill="FFFFFF"/>
            <w:noWrap/>
            <w:vAlign w:val="center"/>
          </w:tcPr>
          <w:p w14:paraId="02B5FBB3" w14:textId="3381A8DE" w:rsidR="00272276" w:rsidRPr="00E977C7" w:rsidRDefault="00272276" w:rsidP="00A364F0">
            <w:pPr>
              <w:jc w:val="center"/>
              <w:rPr>
                <w:sz w:val="20"/>
                <w:szCs w:val="20"/>
                <w:lang w:eastAsia="en-AU"/>
              </w:rPr>
            </w:pPr>
          </w:p>
        </w:tc>
        <w:tc>
          <w:tcPr>
            <w:tcW w:w="2410" w:type="dxa"/>
            <w:tcBorders>
              <w:top w:val="nil"/>
              <w:left w:val="nil"/>
              <w:bottom w:val="single" w:sz="8" w:space="0" w:color="D9D9D9"/>
              <w:right w:val="single" w:sz="8" w:space="0" w:color="D9D9D9"/>
            </w:tcBorders>
            <w:shd w:val="clear" w:color="000000" w:fill="FFFFFF"/>
            <w:noWrap/>
            <w:vAlign w:val="center"/>
          </w:tcPr>
          <w:p w14:paraId="1A85A745" w14:textId="760B8887" w:rsidR="00272276" w:rsidRPr="00E977C7" w:rsidRDefault="00272276" w:rsidP="00A364F0">
            <w:pPr>
              <w:jc w:val="center"/>
              <w:rPr>
                <w:sz w:val="20"/>
                <w:szCs w:val="20"/>
                <w:lang w:eastAsia="en-AU"/>
              </w:rPr>
            </w:pPr>
          </w:p>
        </w:tc>
      </w:tr>
      <w:tr w:rsidR="00272276" w:rsidRPr="003E1EBA" w14:paraId="48CED687" w14:textId="77777777" w:rsidTr="00E977C7">
        <w:trPr>
          <w:trHeight w:hRule="exact" w:val="312"/>
        </w:trPr>
        <w:tc>
          <w:tcPr>
            <w:tcW w:w="4536" w:type="dxa"/>
            <w:tcBorders>
              <w:top w:val="nil"/>
              <w:left w:val="single" w:sz="8" w:space="0" w:color="D9D9D9"/>
              <w:bottom w:val="single" w:sz="8" w:space="0" w:color="D9D9D9"/>
              <w:right w:val="single" w:sz="8" w:space="0" w:color="D9D9D9"/>
            </w:tcBorders>
            <w:shd w:val="clear" w:color="000000" w:fill="FFF6E0"/>
            <w:noWrap/>
          </w:tcPr>
          <w:p w14:paraId="6F358869" w14:textId="4B0E6A8F" w:rsidR="00272276" w:rsidRPr="00E977C7" w:rsidRDefault="00272276" w:rsidP="005267D3">
            <w:pPr>
              <w:rPr>
                <w:b/>
                <w:sz w:val="20"/>
                <w:szCs w:val="20"/>
                <w:lang w:eastAsia="en-AU"/>
              </w:rPr>
            </w:pPr>
            <w:r w:rsidRPr="00E977C7">
              <w:rPr>
                <w:b/>
                <w:sz w:val="20"/>
                <w:szCs w:val="20"/>
                <w:lang w:eastAsia="en-AU"/>
              </w:rPr>
              <w:t>Work</w:t>
            </w:r>
            <w:r w:rsidRPr="00E977C7">
              <w:rPr>
                <w:b/>
                <w:sz w:val="20"/>
                <w:szCs w:val="20"/>
                <w:vertAlign w:val="superscript"/>
                <w:lang w:eastAsia="en-AU"/>
              </w:rPr>
              <w:t>2</w:t>
            </w:r>
          </w:p>
        </w:tc>
        <w:tc>
          <w:tcPr>
            <w:tcW w:w="1985" w:type="dxa"/>
            <w:tcBorders>
              <w:top w:val="nil"/>
              <w:left w:val="nil"/>
              <w:bottom w:val="single" w:sz="8" w:space="0" w:color="D9D9D9"/>
              <w:right w:val="single" w:sz="8" w:space="0" w:color="D9D9D9"/>
            </w:tcBorders>
            <w:shd w:val="clear" w:color="000000" w:fill="FFF6E0"/>
            <w:noWrap/>
            <w:vAlign w:val="center"/>
          </w:tcPr>
          <w:p w14:paraId="73BF1F53" w14:textId="67EB6DCF" w:rsidR="00272276" w:rsidRPr="00E977C7" w:rsidRDefault="00272276" w:rsidP="00A364F0">
            <w:pPr>
              <w:jc w:val="center"/>
              <w:rPr>
                <w:sz w:val="20"/>
                <w:szCs w:val="20"/>
                <w:lang w:eastAsia="en-AU"/>
              </w:rPr>
            </w:pPr>
          </w:p>
        </w:tc>
        <w:tc>
          <w:tcPr>
            <w:tcW w:w="2410" w:type="dxa"/>
            <w:tcBorders>
              <w:top w:val="nil"/>
              <w:left w:val="nil"/>
              <w:bottom w:val="single" w:sz="8" w:space="0" w:color="D9D9D9"/>
              <w:right w:val="single" w:sz="8" w:space="0" w:color="D9D9D9"/>
            </w:tcBorders>
            <w:shd w:val="clear" w:color="000000" w:fill="FFF6E0"/>
            <w:noWrap/>
            <w:vAlign w:val="center"/>
          </w:tcPr>
          <w:p w14:paraId="0621A4AC" w14:textId="3124B2C8" w:rsidR="00272276" w:rsidRPr="00E977C7" w:rsidRDefault="00272276" w:rsidP="00A364F0">
            <w:pPr>
              <w:jc w:val="center"/>
              <w:rPr>
                <w:sz w:val="20"/>
                <w:szCs w:val="20"/>
                <w:lang w:eastAsia="en-AU"/>
              </w:rPr>
            </w:pPr>
          </w:p>
        </w:tc>
      </w:tr>
      <w:tr w:rsidR="00272276" w:rsidRPr="003E1EBA" w14:paraId="4F4E48BA" w14:textId="77777777" w:rsidTr="00A364F0">
        <w:trPr>
          <w:trHeight w:hRule="exact" w:val="653"/>
        </w:trPr>
        <w:tc>
          <w:tcPr>
            <w:tcW w:w="4536" w:type="dxa"/>
            <w:tcBorders>
              <w:top w:val="nil"/>
              <w:left w:val="single" w:sz="8" w:space="0" w:color="D9D9D9"/>
              <w:bottom w:val="single" w:sz="8" w:space="0" w:color="D9D9D9"/>
              <w:right w:val="single" w:sz="8" w:space="0" w:color="D9D9D9"/>
            </w:tcBorders>
            <w:shd w:val="clear" w:color="000000" w:fill="FFFFFF"/>
            <w:noWrap/>
          </w:tcPr>
          <w:p w14:paraId="4208C4DF" w14:textId="1DD746CC" w:rsidR="00272276" w:rsidRPr="00E977C7" w:rsidRDefault="00272276" w:rsidP="005267D3">
            <w:pPr>
              <w:rPr>
                <w:sz w:val="20"/>
                <w:szCs w:val="20"/>
                <w:lang w:eastAsia="en-AU"/>
              </w:rPr>
            </w:pPr>
            <w:r w:rsidRPr="00E977C7">
              <w:rPr>
                <w:sz w:val="20"/>
                <w:szCs w:val="20"/>
                <w:lang w:eastAsia="en-AU"/>
              </w:rPr>
              <w:t xml:space="preserve">Workforce Participation Rate, People aged </w:t>
            </w:r>
            <w:r w:rsidRPr="00E977C7">
              <w:rPr>
                <w:sz w:val="20"/>
                <w:szCs w:val="20"/>
                <w:lang w:eastAsia="en-AU"/>
              </w:rPr>
              <w:br/>
              <w:t>15 to 64</w:t>
            </w:r>
          </w:p>
        </w:tc>
        <w:tc>
          <w:tcPr>
            <w:tcW w:w="1985" w:type="dxa"/>
            <w:tcBorders>
              <w:top w:val="nil"/>
              <w:left w:val="nil"/>
              <w:bottom w:val="single" w:sz="8" w:space="0" w:color="D9D9D9"/>
              <w:right w:val="single" w:sz="8" w:space="0" w:color="D9D9D9"/>
            </w:tcBorders>
            <w:shd w:val="clear" w:color="000000" w:fill="FFFFFF"/>
            <w:noWrap/>
            <w:vAlign w:val="center"/>
          </w:tcPr>
          <w:p w14:paraId="657571F5" w14:textId="58EF224C" w:rsidR="00272276" w:rsidRPr="00E977C7" w:rsidRDefault="00272276" w:rsidP="00A364F0">
            <w:pPr>
              <w:jc w:val="center"/>
              <w:rPr>
                <w:sz w:val="20"/>
                <w:szCs w:val="20"/>
                <w:lang w:eastAsia="en-AU"/>
              </w:rPr>
            </w:pPr>
            <w:r w:rsidRPr="00E977C7">
              <w:rPr>
                <w:sz w:val="20"/>
                <w:szCs w:val="20"/>
                <w:lang w:eastAsia="en-AU"/>
              </w:rPr>
              <w:t>53</w:t>
            </w:r>
          </w:p>
        </w:tc>
        <w:tc>
          <w:tcPr>
            <w:tcW w:w="2410" w:type="dxa"/>
            <w:tcBorders>
              <w:top w:val="nil"/>
              <w:left w:val="nil"/>
              <w:bottom w:val="single" w:sz="8" w:space="0" w:color="D9D9D9"/>
              <w:right w:val="single" w:sz="8" w:space="0" w:color="D9D9D9"/>
            </w:tcBorders>
            <w:shd w:val="clear" w:color="000000" w:fill="FFFFFF"/>
            <w:noWrap/>
            <w:vAlign w:val="center"/>
          </w:tcPr>
          <w:p w14:paraId="65A1A0C3" w14:textId="023E7B8E" w:rsidR="00272276" w:rsidRPr="00E977C7" w:rsidRDefault="00272276" w:rsidP="00A364F0">
            <w:pPr>
              <w:jc w:val="center"/>
              <w:rPr>
                <w:sz w:val="20"/>
                <w:szCs w:val="20"/>
                <w:lang w:eastAsia="en-AU"/>
              </w:rPr>
            </w:pPr>
            <w:r w:rsidRPr="00E977C7">
              <w:rPr>
                <w:sz w:val="20"/>
                <w:szCs w:val="20"/>
                <w:lang w:eastAsia="en-AU"/>
              </w:rPr>
              <w:t>84</w:t>
            </w:r>
          </w:p>
        </w:tc>
      </w:tr>
      <w:tr w:rsidR="00272276" w:rsidRPr="003E1EBA" w14:paraId="7C84CDAF" w14:textId="77777777" w:rsidTr="00E977C7">
        <w:trPr>
          <w:trHeight w:hRule="exact" w:val="312"/>
        </w:trPr>
        <w:tc>
          <w:tcPr>
            <w:tcW w:w="4536" w:type="dxa"/>
            <w:tcBorders>
              <w:top w:val="nil"/>
              <w:left w:val="single" w:sz="8" w:space="0" w:color="D9D9D9"/>
              <w:bottom w:val="single" w:sz="8" w:space="0" w:color="D9D9D9"/>
              <w:right w:val="single" w:sz="8" w:space="0" w:color="D9D9D9"/>
            </w:tcBorders>
            <w:shd w:val="clear" w:color="000000" w:fill="FFF6E0"/>
            <w:noWrap/>
          </w:tcPr>
          <w:p w14:paraId="0948E370" w14:textId="2F076FAB" w:rsidR="00272276" w:rsidRPr="00E977C7" w:rsidRDefault="00272276" w:rsidP="005267D3">
            <w:pPr>
              <w:rPr>
                <w:sz w:val="20"/>
                <w:szCs w:val="20"/>
                <w:lang w:eastAsia="en-AU"/>
              </w:rPr>
            </w:pPr>
            <w:r w:rsidRPr="00E977C7">
              <w:rPr>
                <w:sz w:val="20"/>
                <w:szCs w:val="20"/>
                <w:lang w:eastAsia="en-AU"/>
              </w:rPr>
              <w:t>Full-time Work Rate, People aged 15 to 64</w:t>
            </w:r>
          </w:p>
        </w:tc>
        <w:tc>
          <w:tcPr>
            <w:tcW w:w="1985" w:type="dxa"/>
            <w:tcBorders>
              <w:top w:val="nil"/>
              <w:left w:val="nil"/>
              <w:bottom w:val="single" w:sz="8" w:space="0" w:color="D9D9D9"/>
              <w:right w:val="single" w:sz="8" w:space="0" w:color="D9D9D9"/>
            </w:tcBorders>
            <w:shd w:val="clear" w:color="000000" w:fill="FFF6E0"/>
            <w:noWrap/>
            <w:vAlign w:val="center"/>
          </w:tcPr>
          <w:p w14:paraId="4C49E753" w14:textId="4B53B4E8" w:rsidR="00272276" w:rsidRPr="00E977C7" w:rsidRDefault="00272276" w:rsidP="00A364F0">
            <w:pPr>
              <w:jc w:val="center"/>
              <w:rPr>
                <w:color w:val="000000"/>
                <w:sz w:val="20"/>
                <w:szCs w:val="20"/>
                <w:lang w:eastAsia="en-AU"/>
              </w:rPr>
            </w:pPr>
            <w:r w:rsidRPr="00E977C7">
              <w:rPr>
                <w:sz w:val="20"/>
                <w:szCs w:val="20"/>
                <w:lang w:eastAsia="en-AU"/>
              </w:rPr>
              <w:t>24</w:t>
            </w:r>
          </w:p>
        </w:tc>
        <w:tc>
          <w:tcPr>
            <w:tcW w:w="2410" w:type="dxa"/>
            <w:tcBorders>
              <w:top w:val="nil"/>
              <w:left w:val="nil"/>
              <w:bottom w:val="single" w:sz="8" w:space="0" w:color="D9D9D9"/>
              <w:right w:val="single" w:sz="8" w:space="0" w:color="D9D9D9"/>
            </w:tcBorders>
            <w:shd w:val="clear" w:color="000000" w:fill="FFF6E0"/>
            <w:noWrap/>
            <w:vAlign w:val="center"/>
          </w:tcPr>
          <w:p w14:paraId="4A3C385D" w14:textId="6550148D" w:rsidR="00272276" w:rsidRPr="00E977C7" w:rsidRDefault="00272276" w:rsidP="00A364F0">
            <w:pPr>
              <w:jc w:val="center"/>
              <w:rPr>
                <w:color w:val="000000"/>
                <w:sz w:val="20"/>
                <w:szCs w:val="20"/>
                <w:lang w:eastAsia="en-AU"/>
              </w:rPr>
            </w:pPr>
            <w:r w:rsidRPr="00E977C7">
              <w:rPr>
                <w:sz w:val="20"/>
                <w:szCs w:val="20"/>
                <w:lang w:eastAsia="en-AU"/>
              </w:rPr>
              <w:t>55</w:t>
            </w:r>
          </w:p>
        </w:tc>
      </w:tr>
      <w:tr w:rsidR="00272276" w:rsidRPr="003E1EBA" w14:paraId="674B09BD" w14:textId="77777777" w:rsidTr="00E977C7">
        <w:trPr>
          <w:trHeight w:hRule="exact" w:val="312"/>
        </w:trPr>
        <w:tc>
          <w:tcPr>
            <w:tcW w:w="4536" w:type="dxa"/>
            <w:tcBorders>
              <w:top w:val="nil"/>
              <w:left w:val="single" w:sz="8" w:space="0" w:color="D9D9D9"/>
              <w:bottom w:val="single" w:sz="8" w:space="0" w:color="D9D9D9"/>
              <w:right w:val="single" w:sz="8" w:space="0" w:color="D9D9D9"/>
            </w:tcBorders>
            <w:shd w:val="clear" w:color="auto" w:fill="auto"/>
            <w:noWrap/>
          </w:tcPr>
          <w:p w14:paraId="0DD3B6AD" w14:textId="2BBAFACC" w:rsidR="00272276" w:rsidRPr="00E977C7" w:rsidRDefault="00272276" w:rsidP="005267D3">
            <w:pPr>
              <w:rPr>
                <w:sz w:val="20"/>
                <w:szCs w:val="20"/>
                <w:lang w:eastAsia="en-AU"/>
              </w:rPr>
            </w:pPr>
            <w:r w:rsidRPr="00E977C7">
              <w:rPr>
                <w:sz w:val="20"/>
                <w:szCs w:val="20"/>
                <w:lang w:eastAsia="en-AU"/>
              </w:rPr>
              <w:t>Unemployment Rate, People aged 15 to 64</w:t>
            </w:r>
          </w:p>
        </w:tc>
        <w:tc>
          <w:tcPr>
            <w:tcW w:w="1985" w:type="dxa"/>
            <w:tcBorders>
              <w:top w:val="nil"/>
              <w:left w:val="nil"/>
              <w:bottom w:val="single" w:sz="8" w:space="0" w:color="D9D9D9"/>
              <w:right w:val="single" w:sz="8" w:space="0" w:color="D9D9D9"/>
            </w:tcBorders>
            <w:shd w:val="clear" w:color="auto" w:fill="auto"/>
            <w:noWrap/>
            <w:vAlign w:val="center"/>
          </w:tcPr>
          <w:p w14:paraId="0E13C751" w14:textId="3F342C44" w:rsidR="00272276" w:rsidRPr="00E977C7" w:rsidRDefault="00272276" w:rsidP="00A364F0">
            <w:pPr>
              <w:jc w:val="center"/>
              <w:rPr>
                <w:sz w:val="20"/>
                <w:szCs w:val="20"/>
                <w:lang w:eastAsia="en-AU"/>
              </w:rPr>
            </w:pPr>
            <w:r w:rsidRPr="00E977C7">
              <w:rPr>
                <w:sz w:val="20"/>
                <w:szCs w:val="20"/>
                <w:lang w:eastAsia="en-AU"/>
              </w:rPr>
              <w:t>10</w:t>
            </w:r>
          </w:p>
        </w:tc>
        <w:tc>
          <w:tcPr>
            <w:tcW w:w="2410" w:type="dxa"/>
            <w:tcBorders>
              <w:top w:val="nil"/>
              <w:left w:val="nil"/>
              <w:bottom w:val="single" w:sz="8" w:space="0" w:color="D9D9D9"/>
              <w:right w:val="single" w:sz="8" w:space="0" w:color="D9D9D9"/>
            </w:tcBorders>
            <w:shd w:val="clear" w:color="auto" w:fill="auto"/>
            <w:noWrap/>
            <w:vAlign w:val="center"/>
          </w:tcPr>
          <w:p w14:paraId="27D2384F" w14:textId="4F930378" w:rsidR="00272276" w:rsidRPr="00E977C7" w:rsidRDefault="00272276" w:rsidP="00A364F0">
            <w:pPr>
              <w:jc w:val="center"/>
              <w:rPr>
                <w:sz w:val="20"/>
                <w:szCs w:val="20"/>
                <w:lang w:eastAsia="en-AU"/>
              </w:rPr>
            </w:pPr>
            <w:r w:rsidRPr="00E977C7">
              <w:rPr>
                <w:sz w:val="20"/>
                <w:szCs w:val="20"/>
                <w:lang w:eastAsia="en-AU"/>
              </w:rPr>
              <w:t>5</w:t>
            </w:r>
          </w:p>
        </w:tc>
      </w:tr>
    </w:tbl>
    <w:p w14:paraId="4D3D20E3" w14:textId="343CAC73" w:rsidR="00C94553" w:rsidRPr="00A364F0" w:rsidRDefault="00892DD2" w:rsidP="00A364F0">
      <w:pPr>
        <w:spacing w:before="240" w:line="240" w:lineRule="auto"/>
        <w:rPr>
          <w:sz w:val="18"/>
          <w:szCs w:val="18"/>
        </w:rPr>
      </w:pPr>
      <w:r w:rsidRPr="00A364F0">
        <w:rPr>
          <w:b/>
          <w:sz w:val="18"/>
          <w:szCs w:val="18"/>
        </w:rPr>
        <w:t>Notes</w:t>
      </w:r>
      <w:r w:rsidR="00C94553" w:rsidRPr="00A364F0">
        <w:rPr>
          <w:b/>
          <w:sz w:val="18"/>
          <w:szCs w:val="18"/>
        </w:rPr>
        <w:t>:</w:t>
      </w:r>
      <w:r w:rsidR="009B2BAB" w:rsidRPr="00A364F0">
        <w:rPr>
          <w:b/>
          <w:sz w:val="18"/>
          <w:szCs w:val="18"/>
        </w:rPr>
        <w:t xml:space="preserve"> </w:t>
      </w:r>
      <w:r w:rsidR="00C94553" w:rsidRPr="00A364F0">
        <w:rPr>
          <w:sz w:val="18"/>
          <w:szCs w:val="18"/>
        </w:rPr>
        <w:t xml:space="preserve">1. </w:t>
      </w:r>
      <w:r w:rsidR="00CB4A69" w:rsidRPr="00A364F0">
        <w:rPr>
          <w:sz w:val="18"/>
          <w:szCs w:val="18"/>
        </w:rPr>
        <w:t>Education data sourced from Australia</w:t>
      </w:r>
      <w:r w:rsidR="00681F2E" w:rsidRPr="00A364F0">
        <w:rPr>
          <w:sz w:val="18"/>
          <w:szCs w:val="18"/>
        </w:rPr>
        <w:t>n Institute of Health and Welfare (20</w:t>
      </w:r>
      <w:r w:rsidR="009B2BAB" w:rsidRPr="00A364F0">
        <w:rPr>
          <w:sz w:val="18"/>
          <w:szCs w:val="18"/>
        </w:rPr>
        <w:t>19</w:t>
      </w:r>
      <w:r w:rsidR="00681F2E" w:rsidRPr="00A364F0">
        <w:rPr>
          <w:sz w:val="18"/>
          <w:szCs w:val="18"/>
        </w:rPr>
        <w:t>).</w:t>
      </w:r>
      <w:r w:rsidR="00FA2C14" w:rsidRPr="00A364F0">
        <w:rPr>
          <w:sz w:val="18"/>
          <w:szCs w:val="18"/>
        </w:rPr>
        <w:t xml:space="preserve"> </w:t>
      </w:r>
      <w:r w:rsidR="009B2BAB" w:rsidRPr="00A364F0">
        <w:rPr>
          <w:sz w:val="18"/>
          <w:szCs w:val="18"/>
        </w:rPr>
        <w:t>2.</w:t>
      </w:r>
      <w:r w:rsidR="00FA2C14" w:rsidRPr="00A364F0">
        <w:rPr>
          <w:sz w:val="18"/>
          <w:szCs w:val="18"/>
        </w:rPr>
        <w:t xml:space="preserve"> </w:t>
      </w:r>
      <w:r w:rsidR="009B2BAB" w:rsidRPr="00A364F0">
        <w:rPr>
          <w:sz w:val="18"/>
          <w:szCs w:val="18"/>
        </w:rPr>
        <w:t>Work data sourced from Australian Bureau of Statistics (2014).</w:t>
      </w:r>
      <w:r w:rsidR="00A364F0">
        <w:rPr>
          <w:sz w:val="18"/>
          <w:szCs w:val="18"/>
        </w:rPr>
        <w:br/>
      </w:r>
      <w:r w:rsidR="00C94553" w:rsidRPr="00A364F0">
        <w:rPr>
          <w:b/>
          <w:sz w:val="18"/>
          <w:szCs w:val="18"/>
        </w:rPr>
        <w:t>Source:</w:t>
      </w:r>
      <w:r w:rsidR="00C94553" w:rsidRPr="00A364F0">
        <w:rPr>
          <w:sz w:val="18"/>
          <w:szCs w:val="18"/>
        </w:rPr>
        <w:t xml:space="preserve"> </w:t>
      </w:r>
      <w:r w:rsidRPr="00A364F0">
        <w:rPr>
          <w:sz w:val="18"/>
          <w:szCs w:val="18"/>
        </w:rPr>
        <w:t>Data is sourced from Education Services Australia (2020, p. 129).</w:t>
      </w:r>
    </w:p>
    <w:p w14:paraId="6B280A3C" w14:textId="5AB613FF" w:rsidR="00655DAE" w:rsidRDefault="00B90B26" w:rsidP="00A43206">
      <w:pPr>
        <w:spacing w:before="240"/>
      </w:pPr>
      <w:r>
        <w:t>Students with disability face persistent disadvantage throughout the course of their journey through Australia’s education and training system.</w:t>
      </w:r>
      <w:r w:rsidR="00B41671">
        <w:t xml:space="preserve"> </w:t>
      </w:r>
      <w:r w:rsidR="00EC086D">
        <w:t xml:space="preserve">The NCSEHE’s core recommendations in relation to </w:t>
      </w:r>
      <w:r w:rsidR="00DF46A4">
        <w:t xml:space="preserve">the </w:t>
      </w:r>
      <w:r w:rsidR="005267DF">
        <w:t>Standards</w:t>
      </w:r>
      <w:r w:rsidR="00DF46A4">
        <w:t xml:space="preserve"> and </w:t>
      </w:r>
      <w:r w:rsidR="00EC086D">
        <w:t>education and work participation</w:t>
      </w:r>
      <w:r w:rsidR="00422039">
        <w:t xml:space="preserve"> in higher education</w:t>
      </w:r>
      <w:r>
        <w:t xml:space="preserve"> </w:t>
      </w:r>
      <w:r w:rsidR="00EC086D">
        <w:t>pertain to the need for a joined</w:t>
      </w:r>
      <w:r w:rsidR="00A85B84">
        <w:t>-</w:t>
      </w:r>
      <w:r w:rsidR="00143A99">
        <w:t xml:space="preserve">up approach to ensuring </w:t>
      </w:r>
      <w:r w:rsidR="00633AD8">
        <w:t>the S</w:t>
      </w:r>
      <w:r w:rsidR="00143A99">
        <w:t>tandards support students with disability across the entire education and work</w:t>
      </w:r>
      <w:r w:rsidR="00633AD8">
        <w:t>-</w:t>
      </w:r>
      <w:r w:rsidR="00143A99">
        <w:t>life cycle</w:t>
      </w:r>
      <w:r w:rsidR="00422039">
        <w:t xml:space="preserve"> of students</w:t>
      </w:r>
      <w:r w:rsidR="00657C98">
        <w:t xml:space="preserve"> </w:t>
      </w:r>
      <w:r w:rsidR="0080218C">
        <w:rPr>
          <w:rFonts w:ascii="Engravers MT" w:hAnsi="Engravers MT"/>
        </w:rPr>
        <w:t>—</w:t>
      </w:r>
      <w:r w:rsidR="0080218C">
        <w:t xml:space="preserve"> </w:t>
      </w:r>
      <w:r w:rsidR="00657C98">
        <w:t xml:space="preserve">from pre-access to post-graduation outcomes. </w:t>
      </w:r>
    </w:p>
    <w:p w14:paraId="24D4E207" w14:textId="1DA0C9AA" w:rsidR="005E70E7" w:rsidRPr="00033C3F" w:rsidRDefault="005E70E7" w:rsidP="005267D3">
      <w:pPr>
        <w:pStyle w:val="Heading2"/>
        <w:rPr>
          <w:iCs/>
        </w:rPr>
      </w:pPr>
      <w:bookmarkStart w:id="10" w:name="_Toc51830724"/>
      <w:r w:rsidRPr="00033C3F">
        <w:t>Pre-Access</w:t>
      </w:r>
      <w:bookmarkEnd w:id="10"/>
      <w:r w:rsidR="00033C3F" w:rsidRPr="00033C3F">
        <w:t xml:space="preserve"> </w:t>
      </w:r>
    </w:p>
    <w:p w14:paraId="7AA923B8" w14:textId="1F1A624F" w:rsidR="000C68B1" w:rsidRDefault="00043CC0" w:rsidP="005267D3">
      <w:r>
        <w:t xml:space="preserve">Establishing a pathway to </w:t>
      </w:r>
      <w:r w:rsidR="00981C77">
        <w:t xml:space="preserve">higher education participation and </w:t>
      </w:r>
      <w:r w:rsidR="008723E7">
        <w:t>post-graduation outcomes is critical to increasing participation</w:t>
      </w:r>
      <w:r w:rsidR="006C74F1">
        <w:t xml:space="preserve"> in higher ed</w:t>
      </w:r>
      <w:r w:rsidR="00711350">
        <w:t>u</w:t>
      </w:r>
      <w:r w:rsidR="006C74F1">
        <w:t>c</w:t>
      </w:r>
      <w:r w:rsidR="00711350">
        <w:t>a</w:t>
      </w:r>
      <w:r w:rsidR="006C74F1">
        <w:t>tion</w:t>
      </w:r>
      <w:r w:rsidR="008723E7">
        <w:t xml:space="preserve"> </w:t>
      </w:r>
      <w:r w:rsidR="00711350">
        <w:t>for</w:t>
      </w:r>
      <w:r w:rsidR="008723E7">
        <w:t xml:space="preserve"> </w:t>
      </w:r>
      <w:r w:rsidR="00396436">
        <w:t xml:space="preserve">people with disability. </w:t>
      </w:r>
      <w:r w:rsidR="006E3420">
        <w:t>Initiatives in the “pre-access”</w:t>
      </w:r>
      <w:r w:rsidR="00981C77">
        <w:t xml:space="preserve"> </w:t>
      </w:r>
      <w:r w:rsidR="006E3420">
        <w:t>space in higher education</w:t>
      </w:r>
      <w:r w:rsidR="003B21C5">
        <w:t xml:space="preserve"> are critical to ensuring that students with disability can </w:t>
      </w:r>
      <w:r w:rsidR="009B46F2">
        <w:t>gain awareness and enrol in</w:t>
      </w:r>
      <w:r w:rsidR="0002619A">
        <w:t xml:space="preserve"> university courses of their choice.</w:t>
      </w:r>
      <w:r w:rsidR="00147AF9">
        <w:t xml:space="preserve"> </w:t>
      </w:r>
      <w:r w:rsidR="0002619A">
        <w:t xml:space="preserve">The </w:t>
      </w:r>
      <w:r w:rsidR="00EC5536">
        <w:rPr>
          <w:i/>
        </w:rPr>
        <w:t xml:space="preserve">Review of Senior Secondary Pathways </w:t>
      </w:r>
      <w:r w:rsidR="00D144C7" w:rsidRPr="00DD12D8">
        <w:t>(</w:t>
      </w:r>
      <w:r w:rsidR="00DD12D8">
        <w:t xml:space="preserve">Education Services Australia, </w:t>
      </w:r>
      <w:r w:rsidR="00D144C7" w:rsidRPr="00DD12D8">
        <w:t>2020)</w:t>
      </w:r>
      <w:r w:rsidR="00D144C7">
        <w:rPr>
          <w:i/>
        </w:rPr>
        <w:t xml:space="preserve"> </w:t>
      </w:r>
      <w:r w:rsidR="0002619A">
        <w:t>emphasised the importance of pathways</w:t>
      </w:r>
      <w:r w:rsidR="000C68B1">
        <w:t xml:space="preserve"> for </w:t>
      </w:r>
      <w:r w:rsidR="00104F61">
        <w:t xml:space="preserve">senior </w:t>
      </w:r>
      <w:r w:rsidR="000C68B1">
        <w:t>secondary students</w:t>
      </w:r>
      <w:r w:rsidR="0002619A">
        <w:t>, in its recommendations to government</w:t>
      </w:r>
      <w:r w:rsidR="000C68B1">
        <w:t>, with</w:t>
      </w:r>
      <w:r w:rsidR="0002619A">
        <w:t xml:space="preserve"> Recommendation</w:t>
      </w:r>
      <w:r w:rsidR="000C68B1">
        <w:t xml:space="preserve"> 17 stating</w:t>
      </w:r>
      <w:r w:rsidR="00C12A77">
        <w:t xml:space="preserve"> that</w:t>
      </w:r>
      <w:r w:rsidR="000C68B1">
        <w:t>:</w:t>
      </w:r>
    </w:p>
    <w:p w14:paraId="76E3024F" w14:textId="77E76127" w:rsidR="00C12A77" w:rsidRDefault="00C12A77" w:rsidP="0094472F">
      <w:pPr>
        <w:ind w:left="720"/>
      </w:pPr>
      <w:r w:rsidRPr="00C12A77">
        <w:t>All senior secondary students with disability should have access to work exploration in school and, in collaboration with</w:t>
      </w:r>
      <w:r w:rsidR="00104F61">
        <w:t xml:space="preserve"> </w:t>
      </w:r>
      <w:r w:rsidRPr="00C12A77">
        <w:t>disability support groups, have an individual post-school transition plan put in place prior to leaving school</w:t>
      </w:r>
      <w:r w:rsidR="00F918B2">
        <w:t xml:space="preserve"> (Education Services Australia, 2020, p.</w:t>
      </w:r>
      <w:r w:rsidR="0094472F">
        <w:t xml:space="preserve"> </w:t>
      </w:r>
      <w:r w:rsidR="00F918B2">
        <w:t xml:space="preserve">22). </w:t>
      </w:r>
    </w:p>
    <w:p w14:paraId="29156AF1" w14:textId="7624A80F" w:rsidR="000C68B1" w:rsidRPr="002D6FFE" w:rsidRDefault="00B0249E" w:rsidP="005267D3">
      <w:r>
        <w:t xml:space="preserve">Higher education institutions have always </w:t>
      </w:r>
      <w:r w:rsidR="00096236">
        <w:t>had a</w:t>
      </w:r>
      <w:r>
        <w:t xml:space="preserve"> role in pre-access</w:t>
      </w:r>
      <w:r w:rsidR="00096236">
        <w:t xml:space="preserve"> activities in relation to secondary schools, but this has </w:t>
      </w:r>
      <w:r w:rsidR="00A534D3">
        <w:t xml:space="preserve">been formalised in their equity policy structures over the past decade with the introduction of </w:t>
      </w:r>
      <w:r w:rsidR="002644D6">
        <w:t>the HEPPP in 2010</w:t>
      </w:r>
      <w:r w:rsidR="003E3EA0">
        <w:t>, which</w:t>
      </w:r>
      <w:r w:rsidR="00D965E1">
        <w:t xml:space="preserve"> </w:t>
      </w:r>
      <w:r w:rsidR="003E3EA0">
        <w:t xml:space="preserve">has had </w:t>
      </w:r>
      <w:r w:rsidR="00D965E1">
        <w:t xml:space="preserve">a primary focus on low </w:t>
      </w:r>
      <w:r w:rsidR="0094472F">
        <w:t xml:space="preserve">SES </w:t>
      </w:r>
      <w:r w:rsidR="00D965E1">
        <w:t>students</w:t>
      </w:r>
      <w:r w:rsidR="003E3EA0">
        <w:t>.</w:t>
      </w:r>
      <w:r w:rsidR="00BB1C78">
        <w:t xml:space="preserve"> </w:t>
      </w:r>
      <w:r w:rsidR="0056226D">
        <w:t>T</w:t>
      </w:r>
      <w:r w:rsidR="007D593D">
        <w:t xml:space="preserve">he </w:t>
      </w:r>
      <w:r w:rsidR="002D6FFE" w:rsidRPr="002D6FFE">
        <w:rPr>
          <w:i/>
        </w:rPr>
        <w:t>Job-ready Graduates Package</w:t>
      </w:r>
      <w:r w:rsidR="0056226D">
        <w:t xml:space="preserve"> will see</w:t>
      </w:r>
      <w:r w:rsidR="002B3F93">
        <w:t xml:space="preserve"> the introduction of the new </w:t>
      </w:r>
      <w:r w:rsidR="002B3F93" w:rsidRPr="000B7CEE">
        <w:rPr>
          <w:rFonts w:eastAsia="Calibri"/>
        </w:rPr>
        <w:t xml:space="preserve">Indigenous, </w:t>
      </w:r>
      <w:r w:rsidR="002B3F93" w:rsidRPr="000B7CEE">
        <w:rPr>
          <w:rFonts w:eastAsia="Calibri"/>
        </w:rPr>
        <w:lastRenderedPageBreak/>
        <w:t>Regional and Low SES Attainment Fund</w:t>
      </w:r>
      <w:r w:rsidR="002B3F93" w:rsidRPr="19EB61F5">
        <w:rPr>
          <w:rFonts w:eastAsia="Calibri"/>
        </w:rPr>
        <w:t xml:space="preserve"> </w:t>
      </w:r>
      <w:r w:rsidR="002B3F93">
        <w:rPr>
          <w:rFonts w:eastAsia="Calibri"/>
        </w:rPr>
        <w:t>(</w:t>
      </w:r>
      <w:r w:rsidR="002B3F93" w:rsidRPr="19EB61F5">
        <w:rPr>
          <w:rFonts w:eastAsia="Calibri"/>
        </w:rPr>
        <w:t>IRLSAF</w:t>
      </w:r>
      <w:r w:rsidR="002B3F93">
        <w:rPr>
          <w:rFonts w:eastAsia="Calibri"/>
        </w:rPr>
        <w:t xml:space="preserve">), </w:t>
      </w:r>
      <w:r w:rsidR="0056226D">
        <w:rPr>
          <w:rFonts w:eastAsia="Calibri"/>
        </w:rPr>
        <w:t>with</w:t>
      </w:r>
      <w:r w:rsidR="008D1D8F">
        <w:rPr>
          <w:rFonts w:eastAsia="Calibri"/>
        </w:rPr>
        <w:t xml:space="preserve"> </w:t>
      </w:r>
      <w:r w:rsidR="002B3F93">
        <w:rPr>
          <w:rFonts w:eastAsia="Calibri"/>
        </w:rPr>
        <w:t xml:space="preserve">funding </w:t>
      </w:r>
      <w:r w:rsidR="0056226D">
        <w:rPr>
          <w:rFonts w:eastAsia="Calibri"/>
        </w:rPr>
        <w:t>to</w:t>
      </w:r>
      <w:r w:rsidR="002B3F93">
        <w:rPr>
          <w:rFonts w:eastAsia="Calibri"/>
        </w:rPr>
        <w:t xml:space="preserve"> be </w:t>
      </w:r>
      <w:r w:rsidR="008A4344">
        <w:rPr>
          <w:rFonts w:eastAsia="Calibri"/>
        </w:rPr>
        <w:t xml:space="preserve">calculated </w:t>
      </w:r>
      <w:r w:rsidR="006C2DB0">
        <w:rPr>
          <w:rFonts w:eastAsia="Calibri"/>
        </w:rPr>
        <w:t>on the basis of</w:t>
      </w:r>
      <w:r w:rsidR="008A4344">
        <w:rPr>
          <w:rFonts w:eastAsia="Calibri"/>
        </w:rPr>
        <w:t xml:space="preserve"> institutional performance</w:t>
      </w:r>
      <w:r w:rsidR="002B3F93">
        <w:rPr>
          <w:rFonts w:eastAsia="Calibri"/>
        </w:rPr>
        <w:t xml:space="preserve"> </w:t>
      </w:r>
      <w:r w:rsidR="006C2DB0">
        <w:rPr>
          <w:rFonts w:eastAsia="Calibri"/>
        </w:rPr>
        <w:t>in relation t</w:t>
      </w:r>
      <w:r w:rsidR="008A4344">
        <w:rPr>
          <w:rFonts w:eastAsia="Calibri"/>
        </w:rPr>
        <w:t xml:space="preserve">o the enrolment of Indigenous, regional and remote, and </w:t>
      </w:r>
      <w:r w:rsidR="00DB2202">
        <w:rPr>
          <w:rFonts w:eastAsia="Calibri"/>
        </w:rPr>
        <w:t>low</w:t>
      </w:r>
      <w:r w:rsidR="006C0A4C">
        <w:rPr>
          <w:rFonts w:eastAsia="Calibri"/>
        </w:rPr>
        <w:t xml:space="preserve"> SES</w:t>
      </w:r>
      <w:r w:rsidR="00DB2202">
        <w:rPr>
          <w:rFonts w:eastAsia="Calibri"/>
        </w:rPr>
        <w:t xml:space="preserve"> students</w:t>
      </w:r>
      <w:r w:rsidR="00D5343B">
        <w:rPr>
          <w:rFonts w:eastAsia="Calibri"/>
        </w:rPr>
        <w:t xml:space="preserve"> (Department of Education, Skills and Employment, 2020c)</w:t>
      </w:r>
      <w:r w:rsidR="00134348">
        <w:rPr>
          <w:rFonts w:eastAsia="Calibri"/>
        </w:rPr>
        <w:t xml:space="preserve">. </w:t>
      </w:r>
      <w:r w:rsidR="00DB2202">
        <w:t>As</w:t>
      </w:r>
      <w:r w:rsidR="007D593D">
        <w:t xml:space="preserve"> </w:t>
      </w:r>
      <w:r w:rsidR="00DB2202">
        <w:t>part of its</w:t>
      </w:r>
      <w:r w:rsidR="007D593D">
        <w:t xml:space="preserve"> submission </w:t>
      </w:r>
      <w:r w:rsidR="005E064B">
        <w:t xml:space="preserve">on </w:t>
      </w:r>
      <w:r w:rsidR="00134348">
        <w:t xml:space="preserve">the </w:t>
      </w:r>
      <w:r w:rsidR="00DB2202">
        <w:rPr>
          <w:i/>
        </w:rPr>
        <w:t xml:space="preserve">Job-ready Graduates Package </w:t>
      </w:r>
      <w:r w:rsidR="005E064B">
        <w:t>and its</w:t>
      </w:r>
      <w:r w:rsidR="002D6FFE">
        <w:t xml:space="preserve"> draft legislation, the</w:t>
      </w:r>
      <w:r w:rsidR="005E064B">
        <w:t xml:space="preserve"> NCSEHE observed that the new funding</w:t>
      </w:r>
      <w:r w:rsidR="00DB2202">
        <w:t xml:space="preserve"> arrangements</w:t>
      </w:r>
      <w:r w:rsidR="00E77EE8">
        <w:t xml:space="preserve"> excluded performance on disability from consideration</w:t>
      </w:r>
      <w:r w:rsidR="00BB73C6">
        <w:t xml:space="preserve">. </w:t>
      </w:r>
      <w:r w:rsidR="00B57AEE">
        <w:t xml:space="preserve">The NCSEHE </w:t>
      </w:r>
      <w:r w:rsidR="00A4669F">
        <w:t xml:space="preserve">noted that students with disability could be </w:t>
      </w:r>
      <w:r w:rsidR="003A28CF">
        <w:t>“</w:t>
      </w:r>
      <w:r w:rsidR="003A28CF" w:rsidRPr="19EB61F5">
        <w:t xml:space="preserve">considered through other measures/reforms, </w:t>
      </w:r>
      <w:r w:rsidR="00312079">
        <w:t xml:space="preserve">potentially </w:t>
      </w:r>
      <w:r w:rsidR="003A28CF" w:rsidRPr="19EB61F5">
        <w:t>arising from the ensuing</w:t>
      </w:r>
      <w:r w:rsidR="003A28CF">
        <w:t xml:space="preserve"> </w:t>
      </w:r>
      <w:r w:rsidR="00EC656E" w:rsidRPr="00633AD8">
        <w:rPr>
          <w:i/>
        </w:rPr>
        <w:t>2020 Review of the Disability Standards for Education 2005</w:t>
      </w:r>
      <w:r w:rsidR="00EC656E">
        <w:t>”</w:t>
      </w:r>
      <w:r w:rsidR="00EE16F5">
        <w:t xml:space="preserve"> (National Centre for Student Equity in Higher Education, 2020</w:t>
      </w:r>
      <w:r w:rsidR="00866AE5">
        <w:t>b</w:t>
      </w:r>
      <w:r w:rsidR="00EE16F5">
        <w:t>, p.</w:t>
      </w:r>
      <w:r w:rsidR="0094472F">
        <w:t xml:space="preserve"> </w:t>
      </w:r>
      <w:r w:rsidR="00EE16F5">
        <w:t xml:space="preserve">8). </w:t>
      </w:r>
      <w:r w:rsidR="00D55386">
        <w:t>T</w:t>
      </w:r>
      <w:r w:rsidR="00EE16F5">
        <w:t>h</w:t>
      </w:r>
      <w:r w:rsidR="00D55386">
        <w:t>is</w:t>
      </w:r>
      <w:r w:rsidR="00EE16F5">
        <w:t xml:space="preserve"> </w:t>
      </w:r>
      <w:r w:rsidR="00D55386">
        <w:t>R</w:t>
      </w:r>
      <w:r w:rsidR="00EE16F5">
        <w:t xml:space="preserve">eview provides an opportunity to examine ways in which </w:t>
      </w:r>
      <w:r w:rsidR="004B058D">
        <w:t xml:space="preserve">program funding and operations in the pre-access space can be focused on students with disability, but also integrated into </w:t>
      </w:r>
      <w:r w:rsidR="004C36E7">
        <w:t>other government</w:t>
      </w:r>
      <w:r w:rsidR="003340A0">
        <w:t xml:space="preserve"> policies. </w:t>
      </w:r>
    </w:p>
    <w:p w14:paraId="7E3EBCBB" w14:textId="47AC0256" w:rsidR="00CD018A" w:rsidRDefault="00E810E5" w:rsidP="005267D3">
      <w:pPr>
        <w:rPr>
          <w:rFonts w:ascii="ArialMT" w:hAnsi="ArialMT" w:cs="ArialMT"/>
        </w:rPr>
      </w:pPr>
      <w:r>
        <w:t>T</w:t>
      </w:r>
      <w:r w:rsidR="00E00109">
        <w:t xml:space="preserve">he NCSEHE </w:t>
      </w:r>
      <w:r w:rsidR="009D667B">
        <w:t xml:space="preserve">would </w:t>
      </w:r>
      <w:r>
        <w:t xml:space="preserve">also </w:t>
      </w:r>
      <w:r w:rsidR="009D667B">
        <w:t>point to the impact of the COVID-19 pandemic on</w:t>
      </w:r>
      <w:r w:rsidR="002102C7">
        <w:t xml:space="preserve"> pre-access activities in schools, with travel restrictions impacting markedly on activity, particularly regional areas</w:t>
      </w:r>
      <w:r w:rsidR="00E16FC4">
        <w:t xml:space="preserve"> </w:t>
      </w:r>
      <w:r w:rsidR="00E16FC4" w:rsidRPr="00D354D3">
        <w:t xml:space="preserve">(O’Shea, Koshy &amp; </w:t>
      </w:r>
      <w:proofErr w:type="spellStart"/>
      <w:r w:rsidR="00E16FC4" w:rsidRPr="00D354D3">
        <w:t>Drane</w:t>
      </w:r>
      <w:proofErr w:type="spellEnd"/>
      <w:r w:rsidR="00E16FC4" w:rsidRPr="00D354D3">
        <w:t>, in-review)</w:t>
      </w:r>
      <w:r w:rsidR="00E16FC4">
        <w:t xml:space="preserve">. </w:t>
      </w:r>
      <w:r w:rsidR="00C214FB">
        <w:t>Any analysis of pre-access program integration needs to include</w:t>
      </w:r>
      <w:r w:rsidR="00D02538">
        <w:t xml:space="preserve"> work on the probable ongoing short-term impact of COVID-19. </w:t>
      </w:r>
    </w:p>
    <w:p w14:paraId="04477038" w14:textId="517F5C66" w:rsidR="007F5024" w:rsidRPr="006201CE" w:rsidRDefault="007F5024" w:rsidP="003C7447">
      <w:pPr>
        <w:pBdr>
          <w:left w:val="single" w:sz="4" w:space="4" w:color="auto"/>
        </w:pBdr>
        <w:spacing w:before="360" w:after="360"/>
        <w:ind w:left="720"/>
      </w:pPr>
      <w:r w:rsidRPr="107610F2">
        <w:rPr>
          <w:b/>
          <w:bCs/>
        </w:rPr>
        <w:t xml:space="preserve">Recommendation </w:t>
      </w:r>
      <w:r>
        <w:rPr>
          <w:b/>
          <w:bCs/>
        </w:rPr>
        <w:t>5</w:t>
      </w:r>
      <w:r w:rsidRPr="107610F2">
        <w:rPr>
          <w:b/>
          <w:bCs/>
        </w:rPr>
        <w:t>:</w:t>
      </w:r>
      <w:r w:rsidRPr="107610F2">
        <w:t xml:space="preserve"> </w:t>
      </w:r>
      <w:r w:rsidR="005A53AF" w:rsidRPr="106A0044">
        <w:t xml:space="preserve">That the Standards require </w:t>
      </w:r>
      <w:r w:rsidR="005A53AF">
        <w:t xml:space="preserve">that </w:t>
      </w:r>
      <w:r w:rsidR="005A53AF" w:rsidRPr="106A0044">
        <w:t>outreach activities in secondary education be accessible to students with disability.</w:t>
      </w:r>
    </w:p>
    <w:p w14:paraId="4ABC7E29" w14:textId="4C548142" w:rsidR="00405BB3" w:rsidRPr="00033C3F" w:rsidRDefault="00405BB3" w:rsidP="005267D3">
      <w:pPr>
        <w:pStyle w:val="Heading2"/>
        <w:rPr>
          <w:iCs/>
        </w:rPr>
      </w:pPr>
      <w:bookmarkStart w:id="11" w:name="_Toc51830725"/>
      <w:r w:rsidRPr="00033C3F">
        <w:t>Access and Enrolment</w:t>
      </w:r>
      <w:bookmarkEnd w:id="11"/>
    </w:p>
    <w:p w14:paraId="6C8F3D7A" w14:textId="7AD1DE12" w:rsidR="0086252E" w:rsidRDefault="00405BB3" w:rsidP="005267D3">
      <w:r>
        <w:t xml:space="preserve">The NCSEHE regards the </w:t>
      </w:r>
      <w:r w:rsidR="005267DF">
        <w:t>Standards</w:t>
      </w:r>
      <w:r>
        <w:t xml:space="preserve"> as important in addressing issues of disadvantage among people with disability in relation to their access and enrolment in higher education. </w:t>
      </w:r>
      <w:r w:rsidR="00A043A1">
        <w:t>A</w:t>
      </w:r>
      <w:r>
        <w:t xml:space="preserve">n important consideration, flowing from </w:t>
      </w:r>
      <w:r w:rsidRPr="00182861">
        <w:t>Recommendation 2</w:t>
      </w:r>
      <w:r w:rsidR="000F26ED">
        <w:t>,</w:t>
      </w:r>
      <w:r w:rsidR="00A043A1">
        <w:t xml:space="preserve"> is the identification of disability at the point of access</w:t>
      </w:r>
      <w:r w:rsidRPr="00182861">
        <w:t>.</w:t>
      </w:r>
      <w:r>
        <w:t xml:space="preserve"> A consistent approach to both recognising and addressing disability is essential in ensuring people with disability can access higher education. The Review</w:t>
      </w:r>
      <w:r w:rsidR="009B3695">
        <w:t>’s</w:t>
      </w:r>
      <w:r>
        <w:t xml:space="preserve"> Discussion Paper </w:t>
      </w:r>
      <w:r w:rsidR="007A7540">
        <w:t>observes</w:t>
      </w:r>
      <w:r>
        <w:t xml:space="preserve"> that around </w:t>
      </w:r>
      <w:r w:rsidRPr="00EC5740">
        <w:t>one in five</w:t>
      </w:r>
      <w:r>
        <w:t xml:space="preserve"> secondary school students received an adjustment due to disability according to the NCCD </w:t>
      </w:r>
      <w:r w:rsidRPr="003B5550">
        <w:t>collection (Department of Education, Skills and Employment, 2020a).</w:t>
      </w:r>
      <w:r>
        <w:t xml:space="preserve"> In this context, information collected at the secondary level, perhaps through the development of a USI, would provide important contextual information for higher education institutions during the application and offer phase, but also during the initiation of enrolment. A similar analysis applies to non-secondary</w:t>
      </w:r>
      <w:r w:rsidR="00233E0D">
        <w:t xml:space="preserve"> school</w:t>
      </w:r>
      <w:r>
        <w:t xml:space="preserve"> entrants, where data from sources such as the ND</w:t>
      </w:r>
      <w:r w:rsidR="000E772C">
        <w:t>DA</w:t>
      </w:r>
      <w:r>
        <w:t xml:space="preserve"> would be very important in allowing institutions to characterise the nature of adjustments required, both in the case of an individual student and across their student enrolment. </w:t>
      </w:r>
    </w:p>
    <w:p w14:paraId="1C522BC3" w14:textId="226F4C08" w:rsidR="00405BB3" w:rsidRDefault="0086252E" w:rsidP="005267D3">
      <w:r>
        <w:t xml:space="preserve">Beyond the identification of students, an issue </w:t>
      </w:r>
      <w:r w:rsidR="00B57AEE">
        <w:t xml:space="preserve">potentially </w:t>
      </w:r>
      <w:r w:rsidR="00B374A0">
        <w:t xml:space="preserve">dealt with in addressing issues around pre-access, </w:t>
      </w:r>
      <w:r w:rsidR="00D34332">
        <w:t xml:space="preserve">is the complexity of current enrolment procedures in higher education. In a submission to </w:t>
      </w:r>
      <w:r w:rsidR="00D939EF">
        <w:t xml:space="preserve">the </w:t>
      </w:r>
      <w:r w:rsidR="00687C83">
        <w:t xml:space="preserve">Higher Education Standards Panel (HESP) </w:t>
      </w:r>
      <w:r w:rsidR="00124D79">
        <w:rPr>
          <w:i/>
        </w:rPr>
        <w:t xml:space="preserve">Review of </w:t>
      </w:r>
      <w:r w:rsidR="00124D79" w:rsidRPr="00124D79">
        <w:rPr>
          <w:i/>
        </w:rPr>
        <w:t xml:space="preserve">Transparency of Higher Education </w:t>
      </w:r>
      <w:r w:rsidR="00124D79" w:rsidRPr="00124D79">
        <w:rPr>
          <w:i/>
        </w:rPr>
        <w:lastRenderedPageBreak/>
        <w:t>Admissions Processes</w:t>
      </w:r>
      <w:r w:rsidR="00124D79">
        <w:t xml:space="preserve">, the NCSEHE (2016) highlighted the </w:t>
      </w:r>
      <w:r w:rsidR="007F7C18">
        <w:t>challenges equity students faced in navigating university entry</w:t>
      </w:r>
      <w:r w:rsidR="002673A5">
        <w:t xml:space="preserve"> (</w:t>
      </w:r>
      <w:r w:rsidR="002673A5" w:rsidRPr="00346F1E">
        <w:t>National Centre for Student Equity in Higher Education</w:t>
      </w:r>
      <w:r w:rsidR="002673A5">
        <w:t>,</w:t>
      </w:r>
      <w:r w:rsidR="002673A5" w:rsidRPr="00346F1E">
        <w:t xml:space="preserve"> 20</w:t>
      </w:r>
      <w:r w:rsidR="002673A5">
        <w:t>16</w:t>
      </w:r>
      <w:r w:rsidR="002673A5" w:rsidRPr="00346F1E">
        <w:t>).</w:t>
      </w:r>
      <w:r w:rsidR="009A3DDF">
        <w:t xml:space="preserve"> T</w:t>
      </w:r>
      <w:r w:rsidR="00397C2C">
        <w:t xml:space="preserve">he submission highlighted the importance of </w:t>
      </w:r>
      <w:r w:rsidR="008C49C7">
        <w:t xml:space="preserve">not only individual student characteristics, but also family background and socioeconomic factors in shaping the </w:t>
      </w:r>
      <w:r w:rsidR="009216E6">
        <w:t xml:space="preserve">ability of students to access </w:t>
      </w:r>
      <w:r w:rsidR="009216E6" w:rsidRPr="00D42ABE">
        <w:t>higher education</w:t>
      </w:r>
      <w:r w:rsidR="00D67D68">
        <w:t>, often in ways in which various types and levels of disadvantage has a compounding effect on access</w:t>
      </w:r>
      <w:r w:rsidR="00765735">
        <w:t>.</w:t>
      </w:r>
      <w:r w:rsidR="00D67D68">
        <w:t xml:space="preserve"> </w:t>
      </w:r>
      <w:r w:rsidR="009A3DDF">
        <w:t>A</w:t>
      </w:r>
      <w:r w:rsidR="00DD51AE" w:rsidRPr="00D42ABE">
        <w:t xml:space="preserve"> study by </w:t>
      </w:r>
      <w:proofErr w:type="spellStart"/>
      <w:r w:rsidR="005C781C" w:rsidRPr="00D42ABE">
        <w:t>G</w:t>
      </w:r>
      <w:r w:rsidR="00DD51AE" w:rsidRPr="00D42ABE">
        <w:t>emici</w:t>
      </w:r>
      <w:proofErr w:type="spellEnd"/>
      <w:r w:rsidR="00DD51AE" w:rsidRPr="00D42ABE">
        <w:t xml:space="preserve"> et al. (2014) </w:t>
      </w:r>
      <w:r w:rsidR="005C781C" w:rsidRPr="00D42ABE">
        <w:t xml:space="preserve">found that secondary students </w:t>
      </w:r>
      <w:r w:rsidR="00DD51AE" w:rsidRPr="00D42ABE">
        <w:t xml:space="preserve">whose parents express a preference for them to attend university </w:t>
      </w:r>
      <w:r w:rsidR="00CE2AB7">
        <w:t>we</w:t>
      </w:r>
      <w:r w:rsidR="00DD51AE" w:rsidRPr="00D42ABE">
        <w:t>re eleven times more likely to do so</w:t>
      </w:r>
      <w:r w:rsidR="00CB0406">
        <w:t xml:space="preserve">, </w:t>
      </w:r>
      <w:r w:rsidR="009353B2">
        <w:t>and that generally this encouragement occurs in households with non-equity students.</w:t>
      </w:r>
      <w:r w:rsidR="00BE370F">
        <w:t xml:space="preserve"> </w:t>
      </w:r>
      <w:r w:rsidR="00BE370F" w:rsidRPr="006156E5">
        <w:t>In addition</w:t>
      </w:r>
      <w:r w:rsidR="00BE370F">
        <w:t xml:space="preserve">, equity students in Australia face considerable disadvantages in accessing higher education, including barriers stemming from </w:t>
      </w:r>
      <w:r w:rsidR="00EE412A">
        <w:t xml:space="preserve">relative </w:t>
      </w:r>
      <w:r w:rsidR="00BE370F">
        <w:t>geographical and cultural isolation</w:t>
      </w:r>
      <w:r w:rsidR="004C44B6">
        <w:t xml:space="preserve">. </w:t>
      </w:r>
      <w:r w:rsidR="00D67D68">
        <w:t>Finally</w:t>
      </w:r>
      <w:r w:rsidR="009353B2">
        <w:t xml:space="preserve">, </w:t>
      </w:r>
      <w:r w:rsidR="00EE412A">
        <w:t xml:space="preserve">students with disability </w:t>
      </w:r>
      <w:r w:rsidR="007E4E85">
        <w:t>must</w:t>
      </w:r>
      <w:r w:rsidR="00EE412A">
        <w:t xml:space="preserve"> navigate higher education access </w:t>
      </w:r>
      <w:r w:rsidR="00227C17">
        <w:t xml:space="preserve">often with </w:t>
      </w:r>
      <w:r w:rsidR="00140DBA">
        <w:t>unique</w:t>
      </w:r>
      <w:r w:rsidR="003D5EBE">
        <w:t xml:space="preserve"> </w:t>
      </w:r>
      <w:r w:rsidR="00140DBA">
        <w:t>requirements</w:t>
      </w:r>
      <w:r w:rsidR="00227C17">
        <w:t>.</w:t>
      </w:r>
      <w:r w:rsidR="00140DBA">
        <w:t xml:space="preserve"> </w:t>
      </w:r>
    </w:p>
    <w:p w14:paraId="7C11FE02" w14:textId="79B18646" w:rsidR="00CD018A" w:rsidRDefault="003857AB" w:rsidP="005267D3">
      <w:pPr>
        <w:rPr>
          <w:rFonts w:ascii="ArialMT" w:hAnsi="ArialMT" w:cs="ArialMT"/>
        </w:rPr>
      </w:pPr>
      <w:r>
        <w:t xml:space="preserve">The NCSEHE proposes that the development </w:t>
      </w:r>
      <w:r w:rsidR="00A66D34">
        <w:t>and discussion around</w:t>
      </w:r>
      <w:r w:rsidR="008A6314">
        <w:t xml:space="preserve"> institutional framing and reporting of </w:t>
      </w:r>
      <w:r w:rsidR="00A66D34">
        <w:t xml:space="preserve">inherent requirements in </w:t>
      </w:r>
      <w:r w:rsidR="008A6314">
        <w:t>courses</w:t>
      </w:r>
      <w:r w:rsidR="00A66D34">
        <w:t>, particularly in relation to unacknowledged requirements</w:t>
      </w:r>
      <w:r w:rsidR="008A6314">
        <w:t xml:space="preserve"> and in </w:t>
      </w:r>
      <w:r w:rsidR="005D5145">
        <w:t>professional contexts</w:t>
      </w:r>
      <w:r w:rsidR="00A66D34">
        <w:t xml:space="preserve">, </w:t>
      </w:r>
      <w:r w:rsidR="0079077A">
        <w:t xml:space="preserve">be expanded to include pre-access and </w:t>
      </w:r>
      <w:r w:rsidR="00D6629C">
        <w:t>enrolment</w:t>
      </w:r>
      <w:r w:rsidR="0079077A">
        <w:t xml:space="preserve">. </w:t>
      </w:r>
    </w:p>
    <w:p w14:paraId="6FFB8DC3" w14:textId="1E088FCC" w:rsidR="00A043A1" w:rsidRDefault="007F5024" w:rsidP="003C7447">
      <w:pPr>
        <w:pStyle w:val="xmsolistparagraph"/>
        <w:pBdr>
          <w:left w:val="single" w:sz="4" w:space="4" w:color="auto"/>
        </w:pBdr>
        <w:spacing w:before="360" w:beforeAutospacing="0" w:after="360" w:afterAutospacing="0"/>
        <w:ind w:left="720"/>
      </w:pPr>
      <w:r w:rsidRPr="00B74062">
        <w:rPr>
          <w:b/>
          <w:bCs/>
        </w:rPr>
        <w:t xml:space="preserve">Recommendation 6: </w:t>
      </w:r>
      <w:r w:rsidRPr="00B74062">
        <w:t>That the Standards articulate clearer guidance about formulation of statements of inherent requirements and their communication to students at the pre-access and enrolment stages in higher education.</w:t>
      </w:r>
    </w:p>
    <w:p w14:paraId="123EF5F0" w14:textId="3857B16D" w:rsidR="007C69E1" w:rsidRPr="00033C3F" w:rsidRDefault="007C69E1" w:rsidP="005267D3">
      <w:pPr>
        <w:pStyle w:val="Heading2"/>
        <w:rPr>
          <w:iCs/>
        </w:rPr>
      </w:pPr>
      <w:bookmarkStart w:id="12" w:name="_Toc51830726"/>
      <w:r w:rsidRPr="00033C3F">
        <w:t>Participation</w:t>
      </w:r>
      <w:bookmarkEnd w:id="12"/>
      <w:r w:rsidR="007340B4">
        <w:t xml:space="preserve"> </w:t>
      </w:r>
    </w:p>
    <w:p w14:paraId="7C1E1113" w14:textId="31735AD7" w:rsidR="00FC0910" w:rsidRDefault="00D83B88" w:rsidP="005267D3">
      <w:r>
        <w:t>T</w:t>
      </w:r>
      <w:r w:rsidR="005A407A">
        <w:t>he</w:t>
      </w:r>
      <w:r w:rsidR="00066111">
        <w:t xml:space="preserve"> </w:t>
      </w:r>
      <w:r w:rsidR="005A407A">
        <w:t xml:space="preserve">report for the </w:t>
      </w:r>
      <w:r w:rsidR="005A407A" w:rsidRPr="0091672C">
        <w:rPr>
          <w:i/>
        </w:rPr>
        <w:t xml:space="preserve">2015 Review </w:t>
      </w:r>
      <w:r w:rsidR="006D2150" w:rsidRPr="0091672C">
        <w:rPr>
          <w:i/>
        </w:rPr>
        <w:t xml:space="preserve">of the </w:t>
      </w:r>
      <w:r w:rsidR="0091672C" w:rsidRPr="0091672C">
        <w:rPr>
          <w:i/>
        </w:rPr>
        <w:t>DSE</w:t>
      </w:r>
      <w:r w:rsidR="00BD554E">
        <w:t xml:space="preserve"> (“2015 Review”)</w:t>
      </w:r>
      <w:r w:rsidR="0091672C">
        <w:t xml:space="preserve"> </w:t>
      </w:r>
      <w:r w:rsidR="00C6519F">
        <w:t xml:space="preserve">identified </w:t>
      </w:r>
      <w:r w:rsidR="00AD164B">
        <w:t xml:space="preserve">impediments to instituting </w:t>
      </w:r>
      <w:r w:rsidR="00633AD8">
        <w:t>the</w:t>
      </w:r>
      <w:r w:rsidR="00AD164B">
        <w:t xml:space="preserve"> </w:t>
      </w:r>
      <w:r w:rsidR="00633AD8">
        <w:t>S</w:t>
      </w:r>
      <w:r w:rsidR="00AD164B">
        <w:t>tandards in post-compulsory education</w:t>
      </w:r>
      <w:r>
        <w:t xml:space="preserve"> (Urbis, 2015).</w:t>
      </w:r>
      <w:r w:rsidR="00AD164B">
        <w:t xml:space="preserve"> </w:t>
      </w:r>
      <w:r w:rsidR="00101B7A">
        <w:t>These can be classified into two broad categories</w:t>
      </w:r>
      <w:r>
        <w:t>:</w:t>
      </w:r>
      <w:r w:rsidR="00101B7A">
        <w:t xml:space="preserve"> </w:t>
      </w:r>
      <w:r>
        <w:t>(</w:t>
      </w:r>
      <w:proofErr w:type="spellStart"/>
      <w:r>
        <w:t>i</w:t>
      </w:r>
      <w:proofErr w:type="spellEnd"/>
      <w:r>
        <w:t xml:space="preserve">) </w:t>
      </w:r>
      <w:r w:rsidR="00746D8B">
        <w:t>i</w:t>
      </w:r>
      <w:r w:rsidR="00101B7A">
        <w:t xml:space="preserve">ssues </w:t>
      </w:r>
      <w:r w:rsidR="001D00F0">
        <w:t>around</w:t>
      </w:r>
      <w:r w:rsidR="00101B7A">
        <w:t xml:space="preserve"> awareness and enforceability</w:t>
      </w:r>
      <w:r>
        <w:t>; and (ii)</w:t>
      </w:r>
      <w:r w:rsidR="001D00F0">
        <w:t xml:space="preserve"> </w:t>
      </w:r>
      <w:r w:rsidR="00746D8B">
        <w:t>c</w:t>
      </w:r>
      <w:r w:rsidR="001D00F0">
        <w:t xml:space="preserve">onflict between the enforcement of </w:t>
      </w:r>
      <w:r w:rsidR="00633AD8">
        <w:t>the</w:t>
      </w:r>
      <w:r w:rsidR="001D00F0">
        <w:t xml:space="preserve"> </w:t>
      </w:r>
      <w:r w:rsidR="00633AD8">
        <w:t>S</w:t>
      </w:r>
      <w:r w:rsidR="001D00F0">
        <w:t>tandards</w:t>
      </w:r>
      <w:r w:rsidR="000C0C50">
        <w:t xml:space="preserve"> and </w:t>
      </w:r>
      <w:r w:rsidR="00FC0910">
        <w:t>perceived vocational and professional requirements.</w:t>
      </w:r>
      <w:r w:rsidR="000C0C50">
        <w:t xml:space="preserve"> </w:t>
      </w:r>
    </w:p>
    <w:p w14:paraId="65D134C6" w14:textId="0563B399" w:rsidR="00421A22" w:rsidRDefault="00746D8B" w:rsidP="005267D3">
      <w:r>
        <w:t>The 2015 Review</w:t>
      </w:r>
      <w:r w:rsidR="00DA6A25">
        <w:t xml:space="preserve"> </w:t>
      </w:r>
      <w:r w:rsidR="009C3057">
        <w:t>observed</w:t>
      </w:r>
      <w:r>
        <w:t xml:space="preserve"> a strong disconnect</w:t>
      </w:r>
      <w:r w:rsidR="009C3057">
        <w:t>ion</w:t>
      </w:r>
      <w:r>
        <w:t xml:space="preserve"> </w:t>
      </w:r>
      <w:r w:rsidR="00197B83">
        <w:t xml:space="preserve">between </w:t>
      </w:r>
      <w:r w:rsidR="003A55F1">
        <w:t xml:space="preserve">those </w:t>
      </w:r>
      <w:r w:rsidR="00197B83">
        <w:t xml:space="preserve">administrators with direct charge over equity issues and the enforcement of </w:t>
      </w:r>
      <w:r w:rsidR="00633AD8">
        <w:t>the</w:t>
      </w:r>
      <w:r w:rsidR="00197B83">
        <w:t xml:space="preserve"> </w:t>
      </w:r>
      <w:r w:rsidR="00633AD8">
        <w:t>S</w:t>
      </w:r>
      <w:r w:rsidR="00197B83">
        <w:t>tandards</w:t>
      </w:r>
      <w:r w:rsidR="00274AC8">
        <w:t>,</w:t>
      </w:r>
      <w:r w:rsidR="00197B83">
        <w:t xml:space="preserve"> and </w:t>
      </w:r>
      <w:r w:rsidR="00356D04">
        <w:t>other institutional staff,</w:t>
      </w:r>
      <w:r w:rsidR="00274AC8">
        <w:t xml:space="preserve"> in the post-compulsory setting. This included</w:t>
      </w:r>
      <w:r w:rsidR="00356D04">
        <w:t xml:space="preserve"> </w:t>
      </w:r>
      <w:r w:rsidR="00274AC8">
        <w:t>staff</w:t>
      </w:r>
      <w:r w:rsidR="00356D04">
        <w:t xml:space="preserve"> responsible for teaching and curriculum development. </w:t>
      </w:r>
      <w:r w:rsidR="003A55F1">
        <w:t>In the university context, it was noted that “</w:t>
      </w:r>
      <w:r w:rsidR="001515CB">
        <w:t xml:space="preserve">the </w:t>
      </w:r>
      <w:r w:rsidR="001515CB" w:rsidRPr="001515CB">
        <w:t>scale of universities means that only a selected few people in university administration and support roles thoroughly understood their obligation for compliance to the Standards</w:t>
      </w:r>
      <w:r w:rsidR="001515CB">
        <w:t xml:space="preserve">” (Urbis, 2015, p. 27). </w:t>
      </w:r>
      <w:r w:rsidR="00D03C80">
        <w:t xml:space="preserve">In large part, this is a function of the </w:t>
      </w:r>
      <w:r w:rsidR="00490DD7">
        <w:t xml:space="preserve">overall lack of enforceability of </w:t>
      </w:r>
      <w:r w:rsidR="00633AD8">
        <w:t>the</w:t>
      </w:r>
      <w:r w:rsidR="00490DD7">
        <w:t xml:space="preserve"> </w:t>
      </w:r>
      <w:r w:rsidR="00633AD8">
        <w:t>S</w:t>
      </w:r>
      <w:r w:rsidR="00490DD7">
        <w:t>tandards</w:t>
      </w:r>
      <w:r w:rsidR="008C345C">
        <w:t>. I</w:t>
      </w:r>
      <w:r w:rsidR="001F36EE">
        <w:t>n practice,</w:t>
      </w:r>
      <w:r w:rsidR="00FC5343">
        <w:t xml:space="preserve"> </w:t>
      </w:r>
      <w:r w:rsidR="001F36EE">
        <w:t xml:space="preserve">institutions </w:t>
      </w:r>
      <w:r w:rsidR="00C44EA2">
        <w:t>only have to undertake reasonable adjustments</w:t>
      </w:r>
      <w:r w:rsidR="001F36EE">
        <w:t xml:space="preserve"> to ensure access </w:t>
      </w:r>
      <w:r w:rsidR="008369F7">
        <w:t xml:space="preserve">for students, often motivated by individual cases, with limited attempts to create general guidelines </w:t>
      </w:r>
      <w:r w:rsidR="00AC734D">
        <w:t xml:space="preserve">in relation to inherent requirements for courses. </w:t>
      </w:r>
      <w:r w:rsidR="00421A22" w:rsidRPr="005E69F9">
        <w:t xml:space="preserve">It is anticipated that Recommendation 1, should it be adopted, will provide a suitable framework for </w:t>
      </w:r>
      <w:r w:rsidR="00F55DAE" w:rsidRPr="005E69F9">
        <w:t xml:space="preserve">strengthening compliance and </w:t>
      </w:r>
      <w:r w:rsidR="00512CBC" w:rsidRPr="005E69F9">
        <w:t>responsiveness of institutions.</w:t>
      </w:r>
      <w:r w:rsidR="00512CBC">
        <w:t xml:space="preserve"> </w:t>
      </w:r>
    </w:p>
    <w:p w14:paraId="3B542F66" w14:textId="10BDCED9" w:rsidR="006C6FC9" w:rsidRPr="006C6FC9" w:rsidRDefault="006C6FC9" w:rsidP="005267D3">
      <w:pPr>
        <w:pStyle w:val="Heading2"/>
        <w:rPr>
          <w:rFonts w:ascii="Arial" w:eastAsia="Calibri" w:hAnsi="Arial" w:cs="Arial"/>
          <w:iCs/>
          <w:sz w:val="22"/>
          <w:szCs w:val="22"/>
        </w:rPr>
      </w:pPr>
      <w:bookmarkStart w:id="13" w:name="_Toc51830727"/>
      <w:r w:rsidRPr="006C6FC9">
        <w:lastRenderedPageBreak/>
        <w:t>Curriculum Development, Accreditation and Delivery</w:t>
      </w:r>
      <w:bookmarkEnd w:id="13"/>
    </w:p>
    <w:p w14:paraId="6C33D604" w14:textId="484214E7" w:rsidR="00227C17" w:rsidRDefault="000E0FDF" w:rsidP="005267D3">
      <w:r>
        <w:t xml:space="preserve">Urbis (2015) identified </w:t>
      </w:r>
      <w:r w:rsidR="007C739E">
        <w:t xml:space="preserve">the inconsistent treatment of </w:t>
      </w:r>
      <w:r w:rsidR="00633AD8">
        <w:t>the Standards</w:t>
      </w:r>
      <w:r w:rsidR="007C739E">
        <w:t xml:space="preserve"> across courses, institutions</w:t>
      </w:r>
      <w:r w:rsidR="00657714">
        <w:t>, but also</w:t>
      </w:r>
      <w:r w:rsidR="007C739E">
        <w:t xml:space="preserve"> in relation to</w:t>
      </w:r>
      <w:r w:rsidR="00657714">
        <w:t xml:space="preserve"> professional settings in higher education</w:t>
      </w:r>
      <w:r w:rsidR="000A00FD">
        <w:t xml:space="preserve"> as a key issue in curriculum development and delivery</w:t>
      </w:r>
      <w:r w:rsidR="00657714">
        <w:t>.</w:t>
      </w:r>
      <w:r w:rsidR="00117170">
        <w:t xml:space="preserve"> </w:t>
      </w:r>
      <w:r w:rsidR="00BB5A4B">
        <w:t>I</w:t>
      </w:r>
      <w:r w:rsidR="00117170">
        <w:t>n a series of recommendations on inherent requirement statements in Australian higher education</w:t>
      </w:r>
      <w:r w:rsidR="00B042A3">
        <w:t>,</w:t>
      </w:r>
      <w:r w:rsidR="00134875">
        <w:t xml:space="preserve"> Brett et al. (2016)</w:t>
      </w:r>
      <w:r w:rsidR="00117170">
        <w:t xml:space="preserve"> called for </w:t>
      </w:r>
      <w:r w:rsidR="002D1D3F">
        <w:t>the exploration of options for achieving “greater consistency, clarity and transparency</w:t>
      </w:r>
      <w:r w:rsidR="00517D13">
        <w:t xml:space="preserve"> of inherent requirement statements across institutions and disciplines”</w:t>
      </w:r>
      <w:r w:rsidR="00D85090">
        <w:t xml:space="preserve"> (p.</w:t>
      </w:r>
      <w:r w:rsidR="0094472F">
        <w:t xml:space="preserve"> </w:t>
      </w:r>
      <w:r w:rsidR="00D85090">
        <w:t xml:space="preserve">3), combined with research into the impacts of </w:t>
      </w:r>
      <w:r w:rsidR="00421A22">
        <w:t>such statements on student access and participation.</w:t>
      </w:r>
      <w:r w:rsidR="00BD0A71">
        <w:t xml:space="preserve"> In addition to these issues, </w:t>
      </w:r>
      <w:r w:rsidR="00BC68E7">
        <w:t xml:space="preserve">inclusive curriculum development and practice is vital to </w:t>
      </w:r>
      <w:r w:rsidR="00512FE6">
        <w:t>ensuring positive outcomes for students with disability.</w:t>
      </w:r>
      <w:r w:rsidR="00BC68E7">
        <w:t xml:space="preserve"> </w:t>
      </w:r>
    </w:p>
    <w:p w14:paraId="564B0ECE" w14:textId="77777777" w:rsidR="00CD018A" w:rsidRDefault="00BD0A71" w:rsidP="005267D3">
      <w:pPr>
        <w:rPr>
          <w:rFonts w:ascii="ArialMT" w:hAnsi="ArialMT" w:cs="ArialMT"/>
        </w:rPr>
      </w:pPr>
      <w:r>
        <w:t>The recent changes to the Disability Support Program (DSP) in higher education</w:t>
      </w:r>
      <w:r w:rsidR="00F76E3B">
        <w:t>,</w:t>
      </w:r>
      <w:r w:rsidR="00DC31C0">
        <w:t xml:space="preserve"> </w:t>
      </w:r>
      <w:r>
        <w:t xml:space="preserve">which included additional funding for the </w:t>
      </w:r>
      <w:r w:rsidRPr="00195037">
        <w:t xml:space="preserve">Australian Disability Clearinghouse on Education and Training (ADCET) </w:t>
      </w:r>
      <w:r>
        <w:t>to promote inclusive learning and teaching</w:t>
      </w:r>
      <w:r w:rsidR="00F76E3B">
        <w:t>,</w:t>
      </w:r>
      <w:r>
        <w:t xml:space="preserve"> are a welcome development</w:t>
      </w:r>
      <w:r w:rsidR="00F76E3B">
        <w:t xml:space="preserve"> in this context</w:t>
      </w:r>
      <w:r>
        <w:t xml:space="preserve"> (</w:t>
      </w:r>
      <w:r w:rsidR="00F76E3B">
        <w:t xml:space="preserve">see, </w:t>
      </w:r>
      <w:r>
        <w:t>Department of Education, Skills and Employment, 2020</w:t>
      </w:r>
      <w:r w:rsidR="006F59B5">
        <w:t>d</w:t>
      </w:r>
      <w:r>
        <w:t xml:space="preserve">). </w:t>
      </w:r>
      <w:r w:rsidR="00512CBC">
        <w:t xml:space="preserve">The NCSEHE endorses </w:t>
      </w:r>
      <w:r w:rsidR="004F5421">
        <w:t xml:space="preserve">these initiatives as part of a deepening commitment to the design and implementation of </w:t>
      </w:r>
      <w:r w:rsidR="00633AD8">
        <w:t>the</w:t>
      </w:r>
      <w:r w:rsidR="004F5421">
        <w:t xml:space="preserve"> </w:t>
      </w:r>
      <w:r w:rsidR="00633AD8">
        <w:t>S</w:t>
      </w:r>
      <w:r w:rsidR="004F5421">
        <w:t>tandards in Australian higher education</w:t>
      </w:r>
      <w:r w:rsidR="00810D8C">
        <w:t xml:space="preserve">. </w:t>
      </w:r>
    </w:p>
    <w:bookmarkEnd w:id="4"/>
    <w:p w14:paraId="62151F8A" w14:textId="2D793316" w:rsidR="007F5024" w:rsidRDefault="007F5024" w:rsidP="003C7447">
      <w:pPr>
        <w:pStyle w:val="xmsolistparagraph"/>
        <w:pBdr>
          <w:left w:val="single" w:sz="4" w:space="4" w:color="auto"/>
        </w:pBdr>
        <w:spacing w:before="360" w:beforeAutospacing="0"/>
        <w:ind w:left="720"/>
        <w:rPr>
          <w:rFonts w:eastAsia="Calibri"/>
        </w:rPr>
      </w:pPr>
      <w:r w:rsidRPr="107610F2">
        <w:rPr>
          <w:b/>
          <w:bCs/>
        </w:rPr>
        <w:t xml:space="preserve">Recommendation </w:t>
      </w:r>
      <w:r>
        <w:rPr>
          <w:b/>
          <w:bCs/>
        </w:rPr>
        <w:t>7</w:t>
      </w:r>
      <w:r w:rsidRPr="107610F2">
        <w:rPr>
          <w:b/>
          <w:bCs/>
        </w:rPr>
        <w:t>:</w:t>
      </w:r>
      <w:r w:rsidRPr="107610F2">
        <w:t xml:space="preserve"> </w:t>
      </w:r>
      <w:r w:rsidR="003F73D5" w:rsidRPr="106A0044">
        <w:t>That the Standards provide clearer guidance on the design and implementation of inherent requirements</w:t>
      </w:r>
      <w:r w:rsidR="003F73D5">
        <w:t>. That this is</w:t>
      </w:r>
      <w:r w:rsidR="003F73D5" w:rsidRPr="106A0044">
        <w:t xml:space="preserve"> coupled </w:t>
      </w:r>
      <w:r w:rsidR="00135A00">
        <w:t>with</w:t>
      </w:r>
      <w:r w:rsidR="003F73D5">
        <w:t xml:space="preserve"> guidance on </w:t>
      </w:r>
      <w:r w:rsidR="003F73D5" w:rsidRPr="106A0044">
        <w:t>inclusive teaching practice and structures that will make the</w:t>
      </w:r>
      <w:r w:rsidR="003F73D5">
        <w:t xml:space="preserve"> Standards</w:t>
      </w:r>
      <w:r w:rsidR="003F73D5" w:rsidRPr="106A0044">
        <w:t xml:space="preserve"> integral to course and qualification design and operation.</w:t>
      </w:r>
      <w:r w:rsidR="00614379" w:rsidRPr="00614379">
        <w:rPr>
          <w:noProof/>
          <w:lang w:eastAsia="en-AU"/>
        </w:rPr>
        <w:t xml:space="preserve"> </w:t>
      </w:r>
    </w:p>
    <w:p w14:paraId="118EAE0D" w14:textId="07E2F2A2" w:rsidR="00EA6653" w:rsidRPr="00007088" w:rsidRDefault="003D67E2" w:rsidP="005267D3">
      <w:pPr>
        <w:pStyle w:val="Heading2"/>
        <w:rPr>
          <w:iCs/>
        </w:rPr>
      </w:pPr>
      <w:bookmarkStart w:id="14" w:name="_Toc51830728"/>
      <w:r w:rsidRPr="00007088">
        <w:t>Student Support Services</w:t>
      </w:r>
      <w:bookmarkEnd w:id="14"/>
    </w:p>
    <w:p w14:paraId="1671B26B" w14:textId="19A46207" w:rsidR="00720A8F" w:rsidRDefault="003F01FE" w:rsidP="005267D3">
      <w:r>
        <w:t>I</w:t>
      </w:r>
      <w:r w:rsidR="00036940" w:rsidRPr="00036940">
        <w:t>dentifying and providing appropriate levels of</w:t>
      </w:r>
      <w:r w:rsidR="00036940">
        <w:t xml:space="preserve"> support services to students with disability</w:t>
      </w:r>
      <w:r>
        <w:t xml:space="preserve"> is critical in higher education</w:t>
      </w:r>
      <w:r w:rsidR="00036940">
        <w:t>.</w:t>
      </w:r>
      <w:r w:rsidR="004B5C33">
        <w:t xml:space="preserve"> The importance of support services is that they are </w:t>
      </w:r>
      <w:r w:rsidR="00020866">
        <w:t xml:space="preserve">a </w:t>
      </w:r>
      <w:r w:rsidR="00252472">
        <w:t>central way in which institutions can customise responses to student requirements in various contexts</w:t>
      </w:r>
      <w:r w:rsidR="0053644C">
        <w:t>, including</w:t>
      </w:r>
      <w:r w:rsidR="00DE1FC6">
        <w:t>:</w:t>
      </w:r>
      <w:r w:rsidR="0053644C">
        <w:t xml:space="preserve"> disability in the Indigenous student population (</w:t>
      </w:r>
      <w:r w:rsidR="00DE1FC6">
        <w:t xml:space="preserve">Fleming &amp; Grace, 2016); </w:t>
      </w:r>
      <w:r w:rsidR="00E26F38">
        <w:t>support</w:t>
      </w:r>
      <w:r w:rsidR="00873C78">
        <w:t>ing</w:t>
      </w:r>
      <w:r w:rsidR="00E26F38">
        <w:t xml:space="preserve"> students with disability</w:t>
      </w:r>
      <w:r w:rsidR="00873C78">
        <w:t xml:space="preserve"> in</w:t>
      </w:r>
      <w:r w:rsidR="00E26F38">
        <w:t xml:space="preserve"> online </w:t>
      </w:r>
      <w:r w:rsidR="00873C78">
        <w:t xml:space="preserve">learning contexts </w:t>
      </w:r>
      <w:r w:rsidR="00E26F38">
        <w:t xml:space="preserve">(Kent, </w:t>
      </w:r>
      <w:r w:rsidR="00F81C22">
        <w:t xml:space="preserve">2016); </w:t>
      </w:r>
      <w:r w:rsidR="00873C78">
        <w:t xml:space="preserve">or </w:t>
      </w:r>
      <w:r w:rsidR="00242EBF">
        <w:t>providing specific responses for</w:t>
      </w:r>
      <w:r w:rsidR="00F570A8">
        <w:t xml:space="preserve"> students</w:t>
      </w:r>
      <w:r w:rsidR="00242EBF">
        <w:t xml:space="preserve"> wh</w:t>
      </w:r>
      <w:r w:rsidR="00EC55F0">
        <w:t>o interact differently in learning environments, such as</w:t>
      </w:r>
      <w:r w:rsidR="00242EBF">
        <w:t xml:space="preserve"> </w:t>
      </w:r>
      <w:r w:rsidR="00EC55F0">
        <w:t>students with</w:t>
      </w:r>
      <w:r w:rsidR="00DE750A">
        <w:t xml:space="preserve"> autism (Owen et al., 2016).</w:t>
      </w:r>
      <w:r w:rsidR="00C33F3E">
        <w:t xml:space="preserve"> </w:t>
      </w:r>
    </w:p>
    <w:p w14:paraId="608CCE25" w14:textId="492ECF21" w:rsidR="0056515F" w:rsidRDefault="0056515F" w:rsidP="005267D3">
      <w:r>
        <w:t>In 2020, the Commonwealth has</w:t>
      </w:r>
      <w:r w:rsidR="003C5662">
        <w:t xml:space="preserve"> </w:t>
      </w:r>
      <w:r w:rsidR="005E721E">
        <w:t xml:space="preserve">sought </w:t>
      </w:r>
      <w:r w:rsidR="003C5662">
        <w:t xml:space="preserve">to create more flexibility for institutions in providing support services to students with disability, primarily through </w:t>
      </w:r>
      <w:r w:rsidR="00EF656D">
        <w:t xml:space="preserve">changes to the </w:t>
      </w:r>
      <w:r w:rsidR="00D62CE8">
        <w:t>DSP</w:t>
      </w:r>
      <w:r w:rsidR="00EF656D">
        <w:t xml:space="preserve">, </w:t>
      </w:r>
      <w:r w:rsidR="006E30D3">
        <w:t xml:space="preserve">including the creation of the new Disability Support Fund (DSF) and an expansion </w:t>
      </w:r>
      <w:r w:rsidR="00495335">
        <w:t xml:space="preserve">in the list of eligible activities on which funding can be spent. </w:t>
      </w:r>
      <w:r w:rsidR="009E1E98">
        <w:t>In addition, under the DSF, higher education institutions will be able to claim</w:t>
      </w:r>
      <w:r w:rsidR="00575C25">
        <w:t xml:space="preserve"> reimbursement for students whose needs exceed $10,000 in a calendar year (</w:t>
      </w:r>
      <w:r w:rsidR="00B83FCB">
        <w:t>Department of Education, Skills and Employment, 2020</w:t>
      </w:r>
      <w:r w:rsidR="00172AAE">
        <w:t>c</w:t>
      </w:r>
      <w:r w:rsidR="00B83FCB">
        <w:t xml:space="preserve">). </w:t>
      </w:r>
    </w:p>
    <w:p w14:paraId="4AAE8F9D" w14:textId="77777777" w:rsidR="002A1989" w:rsidRDefault="006D1FE2" w:rsidP="005267D3">
      <w:pPr>
        <w:rPr>
          <w:rFonts w:eastAsia="Calibri"/>
        </w:rPr>
      </w:pPr>
      <w:r>
        <w:lastRenderedPageBreak/>
        <w:t xml:space="preserve">The NCSEHE </w:t>
      </w:r>
      <w:r w:rsidR="008C345C">
        <w:t xml:space="preserve">anticipates </w:t>
      </w:r>
      <w:r w:rsidR="003261EA">
        <w:t>desirable</w:t>
      </w:r>
      <w:r>
        <w:t xml:space="preserve"> changes to student support services </w:t>
      </w:r>
      <w:r w:rsidR="003261EA">
        <w:t>will</w:t>
      </w:r>
      <w:r w:rsidR="00140635">
        <w:t xml:space="preserve"> </w:t>
      </w:r>
      <w:r w:rsidR="002E141A">
        <w:t>emerge from</w:t>
      </w:r>
      <w:r w:rsidR="00140635">
        <w:t xml:space="preserve"> recommendations </w:t>
      </w:r>
      <w:r w:rsidR="00DC2902">
        <w:t xml:space="preserve">from this Discussion Paper and </w:t>
      </w:r>
      <w:r w:rsidR="00874AFC">
        <w:t>it</w:t>
      </w:r>
      <w:r w:rsidR="00DC2902">
        <w:t>s</w:t>
      </w:r>
      <w:r w:rsidR="00874AFC">
        <w:t xml:space="preserve"> </w:t>
      </w:r>
      <w:r w:rsidR="00A81554">
        <w:t>S</w:t>
      </w:r>
      <w:r w:rsidR="00140635">
        <w:t>ubmission</w:t>
      </w:r>
      <w:r w:rsidR="00874AFC">
        <w:t xml:space="preserve"> to the Review</w:t>
      </w:r>
      <w:r w:rsidR="00140635">
        <w:t xml:space="preserve">, </w:t>
      </w:r>
      <w:r w:rsidR="002E141A">
        <w:t xml:space="preserve">in conjunction with </w:t>
      </w:r>
      <w:r w:rsidR="00A72C75">
        <w:t>further, appropriate, adjustments to</w:t>
      </w:r>
      <w:r w:rsidR="00140635">
        <w:t xml:space="preserve"> the DSP</w:t>
      </w:r>
      <w:r w:rsidR="00D62CE8">
        <w:t xml:space="preserve"> as part of their implementation. </w:t>
      </w:r>
    </w:p>
    <w:p w14:paraId="2C4BCB9F" w14:textId="68DEAD74" w:rsidR="006D68D9" w:rsidRPr="00033C3F" w:rsidRDefault="006D68D9" w:rsidP="005267D3">
      <w:pPr>
        <w:pStyle w:val="Heading2"/>
        <w:rPr>
          <w:iCs/>
        </w:rPr>
      </w:pPr>
      <w:bookmarkStart w:id="15" w:name="_Toc51830729"/>
      <w:r w:rsidRPr="00033C3F">
        <w:t>Elimination of Harassment and Victimisation</w:t>
      </w:r>
      <w:bookmarkEnd w:id="15"/>
      <w:r w:rsidRPr="00033C3F">
        <w:t xml:space="preserve"> </w:t>
      </w:r>
    </w:p>
    <w:p w14:paraId="10BC0C76" w14:textId="2DC09D23" w:rsidR="00796DFA" w:rsidRDefault="00F92CF4" w:rsidP="005267D3">
      <w:r>
        <w:t>People with disability are commonly subject to harassment and victimisation</w:t>
      </w:r>
      <w:r w:rsidR="00815452">
        <w:t>.</w:t>
      </w:r>
      <w:r>
        <w:t xml:space="preserve"> </w:t>
      </w:r>
      <w:r w:rsidR="00F47ED8" w:rsidRPr="00C54436">
        <w:t xml:space="preserve">The </w:t>
      </w:r>
      <w:r w:rsidR="00737E7A">
        <w:t xml:space="preserve">ABS’s </w:t>
      </w:r>
      <w:r w:rsidR="00070E46" w:rsidRPr="00C54436">
        <w:t>2014</w:t>
      </w:r>
      <w:r w:rsidR="00F47ED8" w:rsidRPr="00C54436">
        <w:t xml:space="preserve"> </w:t>
      </w:r>
      <w:r w:rsidR="00F47ED8" w:rsidRPr="00737E7A">
        <w:rPr>
          <w:i/>
        </w:rPr>
        <w:t>General Social Survey</w:t>
      </w:r>
      <w:r w:rsidR="00F47ED8" w:rsidRPr="00C54436">
        <w:t xml:space="preserve"> (GSS) </w:t>
      </w:r>
      <w:r w:rsidR="00070E46" w:rsidRPr="00C54436">
        <w:t>found that 22.7 per cent of people with disability</w:t>
      </w:r>
      <w:r w:rsidR="00F96FBA">
        <w:t>,</w:t>
      </w:r>
      <w:r w:rsidR="00070E46" w:rsidRPr="00C54436">
        <w:t xml:space="preserve"> </w:t>
      </w:r>
      <w:r w:rsidR="003D425A" w:rsidRPr="00C54436">
        <w:t xml:space="preserve">compared with 16.9 per cent of people </w:t>
      </w:r>
      <w:r w:rsidR="00F96FBA">
        <w:t>without</w:t>
      </w:r>
      <w:r w:rsidR="003D425A" w:rsidRPr="00C54436">
        <w:t xml:space="preserve"> disability</w:t>
      </w:r>
      <w:r w:rsidR="00F96FBA">
        <w:t>, have experienced discrimination</w:t>
      </w:r>
      <w:r w:rsidR="00D04BD0">
        <w:t xml:space="preserve"> (Australian Bureau of Statistics, 2014)</w:t>
      </w:r>
      <w:r w:rsidR="008C2C64" w:rsidRPr="00C54436">
        <w:t xml:space="preserve">, with </w:t>
      </w:r>
      <w:r w:rsidR="00B338A2">
        <w:t>“</w:t>
      </w:r>
      <w:r w:rsidR="00570A2C" w:rsidRPr="00C54436">
        <w:t>disability</w:t>
      </w:r>
      <w:r w:rsidR="00CF48F5">
        <w:t xml:space="preserve"> or health issue</w:t>
      </w:r>
      <w:r w:rsidR="00B338A2">
        <w:t>”</w:t>
      </w:r>
      <w:r w:rsidR="008C2C64" w:rsidRPr="00C54436">
        <w:t xml:space="preserve"> being cited </w:t>
      </w:r>
      <w:r w:rsidR="003C6CF8" w:rsidRPr="00C54436">
        <w:t xml:space="preserve">as the basis of discrimination </w:t>
      </w:r>
      <w:r w:rsidR="00B229DC">
        <w:t xml:space="preserve">for </w:t>
      </w:r>
      <w:r w:rsidR="003C6CF8" w:rsidRPr="00C54436">
        <w:t xml:space="preserve">around </w:t>
      </w:r>
      <w:r w:rsidR="008C2C64" w:rsidRPr="00C54436">
        <w:t>5 per cent</w:t>
      </w:r>
      <w:r w:rsidR="003C6CF8" w:rsidRPr="00C54436">
        <w:t xml:space="preserve"> among </w:t>
      </w:r>
      <w:r w:rsidR="00C54436" w:rsidRPr="00C54436">
        <w:t>p</w:t>
      </w:r>
      <w:r w:rsidR="003C6CF8" w:rsidRPr="00C54436">
        <w:t xml:space="preserve">eople with disability, compared with around 0.5 per cent among </w:t>
      </w:r>
      <w:r w:rsidR="00C54436" w:rsidRPr="00C54436">
        <w:t xml:space="preserve">people who do not have a disability. </w:t>
      </w:r>
      <w:r w:rsidR="008832F7">
        <w:t>Statistics</w:t>
      </w:r>
      <w:r w:rsidR="00B662A3" w:rsidRPr="008832F7">
        <w:t xml:space="preserve"> on harassment and victimisation</w:t>
      </w:r>
      <w:r w:rsidR="008832F7">
        <w:t xml:space="preserve"> faced by students with disability</w:t>
      </w:r>
      <w:r w:rsidR="00B662A3" w:rsidRPr="008832F7">
        <w:t xml:space="preserve"> in the education sector </w:t>
      </w:r>
      <w:r w:rsidR="00785AE7">
        <w:t>are</w:t>
      </w:r>
      <w:r w:rsidR="00B662A3" w:rsidRPr="008832F7">
        <w:t xml:space="preserve"> </w:t>
      </w:r>
      <w:r w:rsidR="00BA22B7">
        <w:t xml:space="preserve">not officially collected, except through collections such as the GSS or ABS’s </w:t>
      </w:r>
      <w:r w:rsidR="00974459">
        <w:rPr>
          <w:i/>
        </w:rPr>
        <w:t>Disability, Ageing and Carers, Australia</w:t>
      </w:r>
      <w:r w:rsidR="00974459" w:rsidRPr="00974459">
        <w:t xml:space="preserve"> survey</w:t>
      </w:r>
      <w:r w:rsidR="006337C9">
        <w:t xml:space="preserve"> (Australian Bureau of Statistics, 2019)</w:t>
      </w:r>
      <w:r w:rsidR="00AD4F79">
        <w:t>, where estimates are based on sample collection</w:t>
      </w:r>
      <w:r w:rsidR="003C4196">
        <w:t xml:space="preserve"> only. </w:t>
      </w:r>
    </w:p>
    <w:p w14:paraId="6F758CC8" w14:textId="0BA6B6D1" w:rsidR="00CD018A" w:rsidRDefault="003C4196" w:rsidP="005267D3">
      <w:pPr>
        <w:rPr>
          <w:rFonts w:ascii="ArialMT" w:hAnsi="ArialMT" w:cs="ArialMT"/>
        </w:rPr>
      </w:pPr>
      <w:r>
        <w:t>In higher education,</w:t>
      </w:r>
      <w:r w:rsidR="00796DFA">
        <w:t xml:space="preserve"> this issue is somewhat compounded as when</w:t>
      </w:r>
      <w:r w:rsidR="00607F8B" w:rsidRPr="00FA0C4F">
        <w:t xml:space="preserve"> students </w:t>
      </w:r>
      <w:r w:rsidR="00796DFA">
        <w:t xml:space="preserve">do </w:t>
      </w:r>
      <w:r w:rsidR="00607F8B" w:rsidRPr="00FA0C4F">
        <w:t xml:space="preserve">experience discrimination, the onus is placed on them to submit a complaint. The power differential between an individual student and an institution does not </w:t>
      </w:r>
      <w:r w:rsidR="00EC6543">
        <w:t>support</w:t>
      </w:r>
      <w:r w:rsidR="00607F8B" w:rsidRPr="00FA0C4F">
        <w:t xml:space="preserve"> this complaints process.</w:t>
      </w:r>
      <w:r w:rsidR="00C45FC7">
        <w:t xml:space="preserve"> </w:t>
      </w:r>
      <w:r w:rsidR="006C47AF">
        <w:t>In turn, the true extent of harassment and victimisation is not recognised in higher education, except through anecdotal evidence</w:t>
      </w:r>
      <w:r w:rsidR="0022095B">
        <w:t xml:space="preserve">. </w:t>
      </w:r>
      <w:r w:rsidR="004900E1">
        <w:t xml:space="preserve">Higher education would benefit from a national system of </w:t>
      </w:r>
      <w:r w:rsidR="004D0242">
        <w:t>data collection and reporting on harassment and victimisation in all education settings.</w:t>
      </w:r>
      <w:r w:rsidR="00CD018A" w:rsidRPr="00CD018A">
        <w:rPr>
          <w:rFonts w:ascii="ArialMT" w:hAnsi="ArialMT" w:cs="ArialMT"/>
        </w:rPr>
        <w:t xml:space="preserve"> </w:t>
      </w:r>
    </w:p>
    <w:p w14:paraId="7DFDE24A" w14:textId="1DA98DE3" w:rsidR="007F5024" w:rsidRDefault="007F5024" w:rsidP="003C7447">
      <w:pPr>
        <w:pBdr>
          <w:left w:val="single" w:sz="4" w:space="4" w:color="auto"/>
        </w:pBdr>
        <w:spacing w:before="360"/>
        <w:ind w:left="720"/>
        <w:rPr>
          <w:rFonts w:eastAsia="Calibri"/>
          <w:b/>
          <w:bCs/>
        </w:rPr>
      </w:pPr>
      <w:r w:rsidRPr="004D0242">
        <w:rPr>
          <w:b/>
          <w:bCs/>
        </w:rPr>
        <w:t xml:space="preserve">Recommendation </w:t>
      </w:r>
      <w:r>
        <w:rPr>
          <w:b/>
          <w:bCs/>
        </w:rPr>
        <w:t>8</w:t>
      </w:r>
      <w:r w:rsidRPr="004D0242">
        <w:rPr>
          <w:b/>
          <w:bCs/>
        </w:rPr>
        <w:t>:</w:t>
      </w:r>
      <w:r>
        <w:t xml:space="preserve"> </w:t>
      </w:r>
      <w:r w:rsidR="00F95B62">
        <w:t>That t</w:t>
      </w:r>
      <w:r w:rsidR="00F95B62" w:rsidRPr="106A0044">
        <w:t xml:space="preserve">he Standards </w:t>
      </w:r>
      <w:r w:rsidR="00A72466">
        <w:t>introduce a requirement</w:t>
      </w:r>
      <w:r w:rsidR="00B92525">
        <w:t xml:space="preserve"> for the</w:t>
      </w:r>
      <w:r w:rsidR="00F95B62" w:rsidRPr="106A0044">
        <w:t xml:space="preserve"> consistent collection and reporting </w:t>
      </w:r>
      <w:r w:rsidR="00F95B62">
        <w:t xml:space="preserve">of </w:t>
      </w:r>
      <w:r w:rsidR="00F95B62" w:rsidRPr="106A0044">
        <w:t>data on harassment and victimisation in education.</w:t>
      </w:r>
    </w:p>
    <w:p w14:paraId="4EF8E588" w14:textId="323ADA64" w:rsidR="00C158E6" w:rsidRDefault="00C158E6" w:rsidP="00305DBA">
      <w:pPr>
        <w:pStyle w:val="Heading2"/>
        <w:spacing w:before="360"/>
        <w:rPr>
          <w:iCs/>
        </w:rPr>
      </w:pPr>
      <w:bookmarkStart w:id="16" w:name="_Toc51830730"/>
      <w:r>
        <w:t xml:space="preserve">Mental Health </w:t>
      </w:r>
      <w:r w:rsidR="00914D65">
        <w:t>and Disability</w:t>
      </w:r>
      <w:bookmarkEnd w:id="16"/>
      <w:r w:rsidR="00914D65">
        <w:t xml:space="preserve"> </w:t>
      </w:r>
    </w:p>
    <w:p w14:paraId="512A8699" w14:textId="06C73020" w:rsidR="002F2848" w:rsidRDefault="00D07A33" w:rsidP="005267D3">
      <w:r>
        <w:t>A particular consideration in higher education is the reporting of, and institutional response to, student mental health</w:t>
      </w:r>
      <w:r w:rsidR="0051223D">
        <w:t xml:space="preserve"> issues</w:t>
      </w:r>
      <w:r>
        <w:t xml:space="preserve">. </w:t>
      </w:r>
      <w:r w:rsidR="00C158E6" w:rsidRPr="00D63DFE">
        <w:t>Many students choose not to disclose or seek help for their mental ill-health due to a perceived lack of understanding among university staff about the seriousness of their condition (</w:t>
      </w:r>
      <w:proofErr w:type="spellStart"/>
      <w:r w:rsidR="00C158E6" w:rsidRPr="00D63DFE">
        <w:t>Orygen</w:t>
      </w:r>
      <w:proofErr w:type="spellEnd"/>
      <w:r w:rsidR="00C158E6" w:rsidRPr="00D63DFE">
        <w:t xml:space="preserve">, 2017). A lack of disclosure can also be due to the episodic nature of mental ill-health, with some students experiencing periods of acute illness, as well as periods of stability and success. A reluctance to disclose to those in the academic environment is further fuelled by a fear of being stereotyped, the stigma of being treated differently, and the misperception of not being competent (Clark et al., 2018). </w:t>
      </w:r>
    </w:p>
    <w:p w14:paraId="0D43BC13" w14:textId="4184F2BB" w:rsidR="00C158E6" w:rsidRPr="00D63DFE" w:rsidRDefault="00C158E6" w:rsidP="005267D3">
      <w:r w:rsidRPr="00D63DFE">
        <w:t>For many students</w:t>
      </w:r>
      <w:r w:rsidR="002F2848">
        <w:t>,</w:t>
      </w:r>
      <w:r w:rsidRPr="00D63DFE">
        <w:t xml:space="preserve"> their mental ill-health is invisible, may be undocumented</w:t>
      </w:r>
      <w:r w:rsidR="00705BDE">
        <w:t xml:space="preserve"> or</w:t>
      </w:r>
      <w:r w:rsidRPr="00D63DFE">
        <w:t xml:space="preserve"> considered</w:t>
      </w:r>
      <w:r w:rsidR="00B70D0A">
        <w:t xml:space="preserve"> to be </w:t>
      </w:r>
      <w:r w:rsidRPr="00D63DFE">
        <w:t xml:space="preserve">  under control. </w:t>
      </w:r>
      <w:r w:rsidR="002F2848">
        <w:t xml:space="preserve">Importantly, mental </w:t>
      </w:r>
      <w:r w:rsidR="005B0A20">
        <w:t xml:space="preserve">health issues </w:t>
      </w:r>
      <w:r w:rsidR="00F96FBA">
        <w:t>are not always present at the time of enrolment</w:t>
      </w:r>
      <w:r w:rsidR="002B2EEF">
        <w:t xml:space="preserve">, </w:t>
      </w:r>
      <w:r w:rsidR="002B2EEF">
        <w:lastRenderedPageBreak/>
        <w:t xml:space="preserve">but </w:t>
      </w:r>
      <w:r w:rsidR="005B0A20">
        <w:t xml:space="preserve">emerge </w:t>
      </w:r>
      <w:r w:rsidR="00C912D9">
        <w:t>during</w:t>
      </w:r>
      <w:r w:rsidR="005B0A20">
        <w:t xml:space="preserve"> a student’s educational journey. </w:t>
      </w:r>
      <w:r w:rsidR="005C3376">
        <w:t xml:space="preserve">As </w:t>
      </w:r>
      <w:r w:rsidRPr="00D63DFE">
        <w:t xml:space="preserve">the onset of mental ill-health peaks </w:t>
      </w:r>
      <w:r w:rsidR="002F4A80">
        <w:t>in</w:t>
      </w:r>
      <w:r w:rsidRPr="00D63DFE">
        <w:t xml:space="preserve"> adolescence and early adulthood (Kessler et al., 2007; </w:t>
      </w:r>
      <w:proofErr w:type="spellStart"/>
      <w:r w:rsidRPr="00D63DFE">
        <w:t>Orygen</w:t>
      </w:r>
      <w:proofErr w:type="spellEnd"/>
      <w:r w:rsidRPr="00D63DFE">
        <w:t xml:space="preserve">, 2020), and </w:t>
      </w:r>
      <w:r w:rsidR="005C3376">
        <w:t xml:space="preserve">given </w:t>
      </w:r>
      <w:r w:rsidRPr="00D63DFE">
        <w:t xml:space="preserve">the prevalence of high or very high levels of psychological distress (65%) reported by university students (Browne &amp; Munro, 2017; </w:t>
      </w:r>
      <w:proofErr w:type="spellStart"/>
      <w:r w:rsidRPr="00D63DFE">
        <w:t>Orygen</w:t>
      </w:r>
      <w:proofErr w:type="spellEnd"/>
      <w:r w:rsidRPr="00D63DFE">
        <w:t xml:space="preserve">, 2020), a lack of disclosure means that many students’ psychological needs are not being met by current support services. </w:t>
      </w:r>
    </w:p>
    <w:p w14:paraId="6D1A478F" w14:textId="0CB50E77" w:rsidR="007F5024" w:rsidRDefault="007F5024" w:rsidP="003C7447">
      <w:pPr>
        <w:pBdr>
          <w:left w:val="single" w:sz="4" w:space="4" w:color="auto"/>
        </w:pBdr>
        <w:spacing w:before="360"/>
        <w:ind w:left="720"/>
        <w:rPr>
          <w:rFonts w:eastAsia="Calibri"/>
          <w:b/>
          <w:bCs/>
        </w:rPr>
      </w:pPr>
      <w:r w:rsidRPr="005C3376">
        <w:rPr>
          <w:b/>
          <w:bCs/>
        </w:rPr>
        <w:t xml:space="preserve">Recommendation </w:t>
      </w:r>
      <w:r>
        <w:rPr>
          <w:b/>
          <w:bCs/>
        </w:rPr>
        <w:t>9</w:t>
      </w:r>
      <w:r w:rsidRPr="005C3376">
        <w:rPr>
          <w:b/>
          <w:bCs/>
        </w:rPr>
        <w:t>:</w:t>
      </w:r>
      <w:r w:rsidRPr="005C3376">
        <w:t xml:space="preserve"> </w:t>
      </w:r>
      <w:r w:rsidRPr="00D1036B">
        <w:t>That the Standards ensure the classification of mental health conditions under the term “disability” is sufficiently broad to include temporary, chronic and/or episodic conditions</w:t>
      </w:r>
      <w:r w:rsidR="003D3A0D">
        <w:t>,</w:t>
      </w:r>
      <w:r w:rsidRPr="00D1036B">
        <w:t xml:space="preserve"> and that</w:t>
      </w:r>
      <w:r w:rsidR="003D3A0D">
        <w:t xml:space="preserve"> institutional</w:t>
      </w:r>
      <w:r w:rsidRPr="00D1036B">
        <w:t xml:space="preserve"> responses to student support service requirements </w:t>
      </w:r>
      <w:r w:rsidR="00937C71">
        <w:t>or</w:t>
      </w:r>
      <w:r w:rsidR="003D3A0D">
        <w:t xml:space="preserve"> allegations of</w:t>
      </w:r>
      <w:r w:rsidRPr="00D1036B">
        <w:t xml:space="preserve"> harassment and victimisation reflect this complexity.</w:t>
      </w:r>
    </w:p>
    <w:p w14:paraId="0768218F" w14:textId="2278C71B" w:rsidR="00633AD8" w:rsidRDefault="00633AD8" w:rsidP="005267D3">
      <w:pPr>
        <w:rPr>
          <w:rFonts w:ascii="SansaSoft Pro Normal" w:eastAsiaTheme="majorEastAsia" w:hAnsi="SansaSoft Pro Normal" w:cstheme="majorBidi"/>
          <w:sz w:val="26"/>
          <w:szCs w:val="26"/>
        </w:rPr>
      </w:pPr>
      <w:r>
        <w:br w:type="page"/>
      </w:r>
    </w:p>
    <w:p w14:paraId="2B7A3891" w14:textId="5D044216" w:rsidR="00AB7757" w:rsidRPr="00033C3F" w:rsidRDefault="00AB7757" w:rsidP="005267D3">
      <w:pPr>
        <w:pStyle w:val="Heading2"/>
        <w:rPr>
          <w:iCs/>
        </w:rPr>
      </w:pPr>
      <w:bookmarkStart w:id="17" w:name="_Toc51830731"/>
      <w:r w:rsidRPr="00033C3F">
        <w:lastRenderedPageBreak/>
        <w:t>Post-Graduation Outcomes</w:t>
      </w:r>
      <w:bookmarkEnd w:id="17"/>
    </w:p>
    <w:p w14:paraId="3CA07086" w14:textId="58A67432" w:rsidR="00AB7757" w:rsidRDefault="006C4B63" w:rsidP="005267D3">
      <w:r>
        <w:t>Within Australia, t</w:t>
      </w:r>
      <w:r w:rsidRPr="2923D3FB">
        <w:t xml:space="preserve">he labour force outcomes for </w:t>
      </w:r>
      <w:r>
        <w:t>students</w:t>
      </w:r>
      <w:r w:rsidRPr="2923D3FB">
        <w:t xml:space="preserve"> with disability are dramatically </w:t>
      </w:r>
      <w:r>
        <w:t xml:space="preserve">less compared to outcomes for students without disability. </w:t>
      </w:r>
      <w:r w:rsidR="00AB7757">
        <w:t xml:space="preserve">This can be seen in undergraduate data from the 2020 </w:t>
      </w:r>
      <w:r w:rsidR="00AB7757" w:rsidRPr="002D2D1A">
        <w:rPr>
          <w:i/>
        </w:rPr>
        <w:t>Graduate Outcomes Survey</w:t>
      </w:r>
      <w:r w:rsidR="00AB7757">
        <w:t xml:space="preserve"> longitudinal collection (GOS-L), with new graduates with disability</w:t>
      </w:r>
      <w:r w:rsidR="002B2EEF">
        <w:t>,</w:t>
      </w:r>
      <w:r w:rsidR="00AB7757">
        <w:t xml:space="preserve"> in that collection wave</w:t>
      </w:r>
      <w:r w:rsidR="002B2EEF">
        <w:t>,</w:t>
      </w:r>
      <w:r w:rsidR="00AB7757">
        <w:t xml:space="preserve"> experiencing lower levels of full-time employment compared with others </w:t>
      </w:r>
      <w:r w:rsidR="00B652A5">
        <w:rPr>
          <w:rFonts w:ascii="Engravers MT" w:hAnsi="Engravers MT"/>
        </w:rPr>
        <w:t>—</w:t>
      </w:r>
      <w:r w:rsidR="00B652A5">
        <w:t xml:space="preserve"> </w:t>
      </w:r>
      <w:r w:rsidR="00AB7757">
        <w:t>63.9 per cent versus 73.6 per cent</w:t>
      </w:r>
      <w:r w:rsidR="00B652A5">
        <w:t xml:space="preserve"> </w:t>
      </w:r>
      <w:r w:rsidR="00B652A5">
        <w:rPr>
          <w:rFonts w:ascii="Engravers MT" w:hAnsi="Engravers MT"/>
        </w:rPr>
        <w:t>—</w:t>
      </w:r>
      <w:r w:rsidR="00B652A5">
        <w:t xml:space="preserve"> </w:t>
      </w:r>
      <w:r w:rsidR="00AB7757">
        <w:t>with graduates also seeing reduced levels of overall employment and labour force participation</w:t>
      </w:r>
      <w:r w:rsidR="002D2D1A">
        <w:t xml:space="preserve"> (</w:t>
      </w:r>
      <w:r w:rsidR="002D2D1A" w:rsidRPr="002D2D1A">
        <w:t>Quality Indicators for Learning and Teaching</w:t>
      </w:r>
      <w:r w:rsidR="002D2D1A">
        <w:t>,</w:t>
      </w:r>
      <w:r w:rsidR="002D2D1A" w:rsidRPr="002D2D1A">
        <w:t xml:space="preserve"> 2020)</w:t>
      </w:r>
      <w:r w:rsidR="00AB7757">
        <w:t xml:space="preserve">. </w:t>
      </w:r>
      <w:r w:rsidR="00794B87">
        <w:t>As t</w:t>
      </w:r>
      <w:r w:rsidR="00AB7757">
        <w:t>he</w:t>
      </w:r>
      <w:r w:rsidR="00794B87">
        <w:t>re are</w:t>
      </w:r>
      <w:r w:rsidR="00AB7757">
        <w:t xml:space="preserve"> </w:t>
      </w:r>
      <w:r w:rsidR="00E77B8E">
        <w:t>relatively fewer</w:t>
      </w:r>
      <w:r w:rsidR="00AB7757">
        <w:t xml:space="preserve"> graduates with disability</w:t>
      </w:r>
      <w:r w:rsidR="00794B87">
        <w:t xml:space="preserve"> in employment, they</w:t>
      </w:r>
      <w:r w:rsidR="00AB7757">
        <w:t xml:space="preserve"> hav</w:t>
      </w:r>
      <w:r w:rsidR="00E77B8E">
        <w:t>e</w:t>
      </w:r>
      <w:r w:rsidR="00AB7757">
        <w:t xml:space="preserve"> marginally higher median starting salaries than other graduates. </w:t>
      </w:r>
      <w:r w:rsidR="00E77B8E">
        <w:t>However, t</w:t>
      </w:r>
      <w:r w:rsidR="00AB7757">
        <w:t>he GOS-L collection on medium-term (three year) outcomes for 2017 graduates in 2020 paints a similar picture of disadvantage for students with disability</w:t>
      </w:r>
      <w:r w:rsidR="00670537">
        <w:t>.</w:t>
      </w:r>
      <w:r w:rsidR="00AB7757">
        <w:t xml:space="preserve"> </w:t>
      </w:r>
      <w:r w:rsidR="00670537">
        <w:t>While</w:t>
      </w:r>
      <w:r w:rsidR="00AB7757">
        <w:t xml:space="preserve"> the overall labour and employment participation gap is narrower over the medium term,</w:t>
      </w:r>
      <w:r w:rsidR="002B2EEF">
        <w:t xml:space="preserve"> </w:t>
      </w:r>
      <w:r w:rsidR="00AB7757">
        <w:t>students with disability</w:t>
      </w:r>
      <w:r w:rsidR="00670537">
        <w:t xml:space="preserve"> </w:t>
      </w:r>
      <w:r w:rsidR="004C5719">
        <w:t>see a lower increase in</w:t>
      </w:r>
      <w:r w:rsidR="00AB7757">
        <w:t xml:space="preserve"> salaries than students</w:t>
      </w:r>
      <w:r w:rsidR="004C5719">
        <w:t xml:space="preserve"> without disability</w:t>
      </w:r>
      <w:r w:rsidR="00AB7757">
        <w:t xml:space="preserve">. </w:t>
      </w:r>
    </w:p>
    <w:p w14:paraId="7209AB41" w14:textId="22FF45D6" w:rsidR="00AB7757" w:rsidRDefault="00AB7757" w:rsidP="005267D3">
      <w:pPr>
        <w:pStyle w:val="TableHeading"/>
      </w:pPr>
      <w:r w:rsidRPr="00555170">
        <w:t xml:space="preserve">Table </w:t>
      </w:r>
      <w:r>
        <w:t>4</w:t>
      </w:r>
      <w:r w:rsidRPr="00555170">
        <w:t xml:space="preserve">: </w:t>
      </w:r>
      <w:r>
        <w:t xml:space="preserve">Undergraduate Outcomes in 2020: Short-Term (2020 Graduates) and Medium-Term (2017 Graduates), </w:t>
      </w:r>
      <w:r w:rsidR="002B2EEF">
        <w:t>Students</w:t>
      </w:r>
      <w:r>
        <w:t xml:space="preserve"> with Disability and </w:t>
      </w:r>
      <w:r w:rsidR="002B2EEF">
        <w:t>Students</w:t>
      </w:r>
      <w:r>
        <w:t xml:space="preserve"> without Disability.</w:t>
      </w:r>
    </w:p>
    <w:tbl>
      <w:tblPr>
        <w:tblW w:w="8931" w:type="dxa"/>
        <w:tblLayout w:type="fixed"/>
        <w:tblLook w:val="04A0" w:firstRow="1" w:lastRow="0" w:firstColumn="1" w:lastColumn="0" w:noHBand="0" w:noVBand="1"/>
        <w:tblCaption w:val="Table 14"/>
        <w:tblDescription w:val="Student Equity Enrolments and Enrolment Shares, Table A and B Providers, 2013–18a "/>
      </w:tblPr>
      <w:tblGrid>
        <w:gridCol w:w="4395"/>
        <w:gridCol w:w="2268"/>
        <w:gridCol w:w="2268"/>
      </w:tblGrid>
      <w:tr w:rsidR="00AB7757" w:rsidRPr="003E1EBA" w14:paraId="0AE820E2" w14:textId="77777777" w:rsidTr="00614379">
        <w:trPr>
          <w:trHeight w:hRule="exact" w:val="625"/>
        </w:trPr>
        <w:tc>
          <w:tcPr>
            <w:tcW w:w="4395" w:type="dxa"/>
            <w:tcBorders>
              <w:top w:val="nil"/>
              <w:left w:val="nil"/>
              <w:bottom w:val="single" w:sz="8" w:space="0" w:color="D9D9D9"/>
              <w:right w:val="single" w:sz="8" w:space="0" w:color="D9D9D9"/>
            </w:tcBorders>
            <w:shd w:val="clear" w:color="auto" w:fill="auto"/>
            <w:noWrap/>
            <w:vAlign w:val="center"/>
          </w:tcPr>
          <w:p w14:paraId="77FBD000" w14:textId="77777777" w:rsidR="00AB7757" w:rsidRPr="00614379" w:rsidRDefault="00AB7757" w:rsidP="005267D3">
            <w:pPr>
              <w:rPr>
                <w:sz w:val="20"/>
                <w:szCs w:val="20"/>
                <w:lang w:eastAsia="en-AU"/>
              </w:rPr>
            </w:pPr>
          </w:p>
        </w:tc>
        <w:tc>
          <w:tcPr>
            <w:tcW w:w="2268"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126785B7" w14:textId="3DADE849" w:rsidR="00AB7757" w:rsidRPr="00614379" w:rsidRDefault="00AB7757" w:rsidP="00614379">
            <w:pPr>
              <w:spacing w:line="240" w:lineRule="auto"/>
              <w:jc w:val="center"/>
              <w:rPr>
                <w:b/>
                <w:color w:val="FFFFFF" w:themeColor="background1"/>
                <w:sz w:val="20"/>
                <w:szCs w:val="20"/>
                <w:lang w:eastAsia="en-AU"/>
              </w:rPr>
            </w:pPr>
            <w:r w:rsidRPr="00614379">
              <w:rPr>
                <w:b/>
                <w:color w:val="FFFFFF" w:themeColor="background1"/>
                <w:sz w:val="20"/>
                <w:szCs w:val="20"/>
                <w:lang w:eastAsia="en-AU"/>
              </w:rPr>
              <w:t>Students with Disability</w:t>
            </w:r>
          </w:p>
        </w:tc>
        <w:tc>
          <w:tcPr>
            <w:tcW w:w="2268" w:type="dxa"/>
            <w:tcBorders>
              <w:top w:val="single" w:sz="8" w:space="0" w:color="D9D9D9"/>
              <w:left w:val="single" w:sz="8" w:space="0" w:color="D9D9D9"/>
              <w:bottom w:val="single" w:sz="8" w:space="0" w:color="D9D9D9"/>
              <w:right w:val="single" w:sz="8" w:space="0" w:color="D9D9D9"/>
            </w:tcBorders>
            <w:shd w:val="clear" w:color="000000" w:fill="B58C0A"/>
            <w:noWrap/>
            <w:vAlign w:val="center"/>
          </w:tcPr>
          <w:p w14:paraId="28817EBF" w14:textId="53B509BE" w:rsidR="00AB7757" w:rsidRPr="00614379" w:rsidRDefault="00AB7757" w:rsidP="00614379">
            <w:pPr>
              <w:spacing w:line="240" w:lineRule="auto"/>
              <w:jc w:val="center"/>
              <w:rPr>
                <w:b/>
                <w:color w:val="FFFFFF" w:themeColor="background1"/>
                <w:sz w:val="20"/>
                <w:szCs w:val="20"/>
                <w:lang w:eastAsia="en-AU"/>
              </w:rPr>
            </w:pPr>
            <w:r w:rsidRPr="00614379">
              <w:rPr>
                <w:b/>
                <w:color w:val="FFFFFF" w:themeColor="background1"/>
                <w:sz w:val="20"/>
                <w:szCs w:val="20"/>
                <w:lang w:eastAsia="en-AU"/>
              </w:rPr>
              <w:t>Students without Disability</w:t>
            </w:r>
          </w:p>
        </w:tc>
      </w:tr>
      <w:tr w:rsidR="00AB7757" w:rsidRPr="003E1EBA" w14:paraId="712B8A9A"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6E0"/>
            <w:noWrap/>
            <w:vAlign w:val="center"/>
          </w:tcPr>
          <w:p w14:paraId="06423A1F" w14:textId="77777777" w:rsidR="00AB7757" w:rsidRPr="00614379" w:rsidRDefault="00AB7757" w:rsidP="005267D3">
            <w:pPr>
              <w:rPr>
                <w:b/>
                <w:sz w:val="20"/>
                <w:szCs w:val="20"/>
                <w:lang w:eastAsia="en-AU"/>
              </w:rPr>
            </w:pPr>
            <w:r w:rsidRPr="00614379">
              <w:rPr>
                <w:b/>
                <w:sz w:val="20"/>
                <w:szCs w:val="20"/>
                <w:lang w:eastAsia="en-AU"/>
              </w:rPr>
              <w:t>Short-term Outcomes (First Year)</w:t>
            </w:r>
            <w:r w:rsidRPr="00614379">
              <w:rPr>
                <w:b/>
                <w:sz w:val="20"/>
                <w:szCs w:val="20"/>
                <w:vertAlign w:val="superscript"/>
                <w:lang w:eastAsia="en-AU"/>
              </w:rPr>
              <w:t>1</w:t>
            </w:r>
          </w:p>
        </w:tc>
        <w:tc>
          <w:tcPr>
            <w:tcW w:w="2268" w:type="dxa"/>
            <w:tcBorders>
              <w:top w:val="nil"/>
              <w:left w:val="nil"/>
              <w:bottom w:val="single" w:sz="8" w:space="0" w:color="D9D9D9"/>
              <w:right w:val="single" w:sz="8" w:space="0" w:color="D9D9D9"/>
            </w:tcBorders>
            <w:shd w:val="clear" w:color="000000" w:fill="FFF6E0"/>
            <w:noWrap/>
            <w:vAlign w:val="bottom"/>
          </w:tcPr>
          <w:p w14:paraId="35BC7DB2" w14:textId="77777777" w:rsidR="00AB7757" w:rsidRPr="00614379" w:rsidRDefault="00AB7757" w:rsidP="00614379">
            <w:pPr>
              <w:jc w:val="center"/>
              <w:rPr>
                <w:sz w:val="20"/>
                <w:szCs w:val="20"/>
                <w:lang w:eastAsia="en-AU"/>
              </w:rPr>
            </w:pPr>
          </w:p>
        </w:tc>
        <w:tc>
          <w:tcPr>
            <w:tcW w:w="2268" w:type="dxa"/>
            <w:tcBorders>
              <w:top w:val="nil"/>
              <w:left w:val="nil"/>
              <w:bottom w:val="single" w:sz="8" w:space="0" w:color="D9D9D9"/>
              <w:right w:val="single" w:sz="8" w:space="0" w:color="D9D9D9"/>
            </w:tcBorders>
            <w:shd w:val="clear" w:color="000000" w:fill="FFF6E0"/>
            <w:noWrap/>
            <w:vAlign w:val="bottom"/>
          </w:tcPr>
          <w:p w14:paraId="1B2EE59D" w14:textId="77777777" w:rsidR="00AB7757" w:rsidRPr="00614379" w:rsidRDefault="00AB7757" w:rsidP="00614379">
            <w:pPr>
              <w:jc w:val="center"/>
              <w:rPr>
                <w:sz w:val="20"/>
                <w:szCs w:val="20"/>
                <w:lang w:eastAsia="en-AU"/>
              </w:rPr>
            </w:pPr>
          </w:p>
        </w:tc>
      </w:tr>
      <w:tr w:rsidR="00AB7757" w:rsidRPr="003E1EBA" w14:paraId="23EC55AC"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FFF"/>
            <w:noWrap/>
            <w:vAlign w:val="center"/>
          </w:tcPr>
          <w:p w14:paraId="2E713C98" w14:textId="77777777" w:rsidR="00AB7757" w:rsidRPr="00614379" w:rsidRDefault="00AB7757" w:rsidP="005267D3">
            <w:pPr>
              <w:rPr>
                <w:sz w:val="20"/>
                <w:szCs w:val="20"/>
                <w:lang w:eastAsia="en-AU"/>
              </w:rPr>
            </w:pPr>
            <w:r w:rsidRPr="00614379">
              <w:rPr>
                <w:sz w:val="20"/>
                <w:szCs w:val="20"/>
                <w:lang w:eastAsia="en-AU"/>
              </w:rPr>
              <w:t>Full-time Employment (%)</w:t>
            </w:r>
          </w:p>
        </w:tc>
        <w:tc>
          <w:tcPr>
            <w:tcW w:w="2268" w:type="dxa"/>
            <w:tcBorders>
              <w:top w:val="nil"/>
              <w:left w:val="nil"/>
              <w:bottom w:val="single" w:sz="8" w:space="0" w:color="D9D9D9"/>
              <w:right w:val="single" w:sz="8" w:space="0" w:color="D9D9D9"/>
            </w:tcBorders>
            <w:shd w:val="clear" w:color="000000" w:fill="FFFFFF"/>
            <w:noWrap/>
            <w:vAlign w:val="bottom"/>
          </w:tcPr>
          <w:p w14:paraId="492E566E" w14:textId="77777777" w:rsidR="00AB7757" w:rsidRPr="00614379" w:rsidRDefault="00AB7757" w:rsidP="00614379">
            <w:pPr>
              <w:jc w:val="center"/>
              <w:rPr>
                <w:rFonts w:cs="Arial"/>
                <w:i/>
                <w:iCs/>
                <w:sz w:val="20"/>
                <w:szCs w:val="20"/>
                <w:lang w:eastAsia="en-AU"/>
              </w:rPr>
            </w:pPr>
            <w:r w:rsidRPr="00614379">
              <w:rPr>
                <w:sz w:val="20"/>
                <w:szCs w:val="20"/>
                <w:lang w:eastAsia="en-AU"/>
              </w:rPr>
              <w:t>63.9</w:t>
            </w:r>
          </w:p>
        </w:tc>
        <w:tc>
          <w:tcPr>
            <w:tcW w:w="2268" w:type="dxa"/>
            <w:tcBorders>
              <w:top w:val="nil"/>
              <w:left w:val="nil"/>
              <w:bottom w:val="single" w:sz="8" w:space="0" w:color="D9D9D9"/>
              <w:right w:val="single" w:sz="8" w:space="0" w:color="D9D9D9"/>
            </w:tcBorders>
            <w:shd w:val="clear" w:color="000000" w:fill="FFFFFF"/>
            <w:noWrap/>
            <w:vAlign w:val="bottom"/>
          </w:tcPr>
          <w:p w14:paraId="11B6912E" w14:textId="77777777" w:rsidR="00AB7757" w:rsidRPr="00614379" w:rsidRDefault="00AB7757" w:rsidP="00614379">
            <w:pPr>
              <w:jc w:val="center"/>
              <w:rPr>
                <w:rFonts w:cs="Arial"/>
                <w:i/>
                <w:iCs/>
                <w:sz w:val="20"/>
                <w:szCs w:val="20"/>
                <w:lang w:eastAsia="en-AU"/>
              </w:rPr>
            </w:pPr>
            <w:r w:rsidRPr="00614379">
              <w:rPr>
                <w:sz w:val="20"/>
                <w:szCs w:val="20"/>
                <w:lang w:eastAsia="en-AU"/>
              </w:rPr>
              <w:t>73.6</w:t>
            </w:r>
          </w:p>
        </w:tc>
      </w:tr>
      <w:tr w:rsidR="00AB7757" w:rsidRPr="003E1EBA" w14:paraId="74483010"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6E0"/>
            <w:noWrap/>
            <w:vAlign w:val="center"/>
          </w:tcPr>
          <w:p w14:paraId="3C9F77A8" w14:textId="77777777" w:rsidR="00AB7757" w:rsidRPr="00614379" w:rsidRDefault="00AB7757" w:rsidP="005267D3">
            <w:pPr>
              <w:rPr>
                <w:sz w:val="20"/>
                <w:szCs w:val="20"/>
                <w:lang w:eastAsia="en-AU"/>
              </w:rPr>
            </w:pPr>
            <w:r w:rsidRPr="00614379">
              <w:rPr>
                <w:sz w:val="20"/>
                <w:szCs w:val="20"/>
                <w:lang w:eastAsia="en-AU"/>
              </w:rPr>
              <w:t>Overall Employment (%)</w:t>
            </w:r>
          </w:p>
        </w:tc>
        <w:tc>
          <w:tcPr>
            <w:tcW w:w="2268" w:type="dxa"/>
            <w:tcBorders>
              <w:top w:val="nil"/>
              <w:left w:val="nil"/>
              <w:bottom w:val="single" w:sz="8" w:space="0" w:color="D9D9D9"/>
              <w:right w:val="single" w:sz="8" w:space="0" w:color="D9D9D9"/>
            </w:tcBorders>
            <w:shd w:val="clear" w:color="000000" w:fill="FFF6E0"/>
            <w:noWrap/>
            <w:vAlign w:val="bottom"/>
          </w:tcPr>
          <w:p w14:paraId="4CBE4F82" w14:textId="77777777" w:rsidR="00AB7757" w:rsidRPr="00614379" w:rsidRDefault="00AB7757" w:rsidP="00614379">
            <w:pPr>
              <w:jc w:val="center"/>
              <w:rPr>
                <w:rFonts w:cs="Arial"/>
                <w:sz w:val="20"/>
                <w:szCs w:val="20"/>
                <w:lang w:eastAsia="en-AU"/>
              </w:rPr>
            </w:pPr>
            <w:r w:rsidRPr="00614379">
              <w:rPr>
                <w:sz w:val="20"/>
                <w:szCs w:val="20"/>
                <w:lang w:eastAsia="en-AU"/>
              </w:rPr>
              <w:t>79.7</w:t>
            </w:r>
          </w:p>
        </w:tc>
        <w:tc>
          <w:tcPr>
            <w:tcW w:w="2268" w:type="dxa"/>
            <w:tcBorders>
              <w:top w:val="nil"/>
              <w:left w:val="nil"/>
              <w:bottom w:val="single" w:sz="8" w:space="0" w:color="D9D9D9"/>
              <w:right w:val="single" w:sz="8" w:space="0" w:color="D9D9D9"/>
            </w:tcBorders>
            <w:shd w:val="clear" w:color="000000" w:fill="FFF6E0"/>
            <w:noWrap/>
            <w:vAlign w:val="bottom"/>
          </w:tcPr>
          <w:p w14:paraId="3BFD0226" w14:textId="77777777" w:rsidR="00AB7757" w:rsidRPr="00614379" w:rsidRDefault="00AB7757" w:rsidP="00614379">
            <w:pPr>
              <w:jc w:val="center"/>
              <w:rPr>
                <w:rFonts w:cs="Arial"/>
                <w:sz w:val="20"/>
                <w:szCs w:val="20"/>
                <w:lang w:eastAsia="en-AU"/>
              </w:rPr>
            </w:pPr>
            <w:r w:rsidRPr="00614379">
              <w:rPr>
                <w:sz w:val="20"/>
                <w:szCs w:val="20"/>
                <w:lang w:eastAsia="en-AU"/>
              </w:rPr>
              <w:t>87.4</w:t>
            </w:r>
          </w:p>
        </w:tc>
      </w:tr>
      <w:tr w:rsidR="00AB7757" w:rsidRPr="003E1EBA" w14:paraId="0A1516EB"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FFF"/>
            <w:noWrap/>
          </w:tcPr>
          <w:p w14:paraId="1068C1DD" w14:textId="77777777" w:rsidR="00AB7757" w:rsidRPr="00614379" w:rsidRDefault="00AB7757" w:rsidP="005267D3">
            <w:pPr>
              <w:rPr>
                <w:sz w:val="20"/>
                <w:szCs w:val="20"/>
                <w:lang w:eastAsia="en-AU"/>
              </w:rPr>
            </w:pPr>
            <w:r w:rsidRPr="00614379">
              <w:rPr>
                <w:sz w:val="20"/>
                <w:szCs w:val="20"/>
                <w:lang w:eastAsia="en-AU"/>
              </w:rPr>
              <w:t xml:space="preserve">Labour Force Participation (%) </w:t>
            </w:r>
          </w:p>
        </w:tc>
        <w:tc>
          <w:tcPr>
            <w:tcW w:w="2268" w:type="dxa"/>
            <w:tcBorders>
              <w:top w:val="nil"/>
              <w:left w:val="nil"/>
              <w:bottom w:val="single" w:sz="8" w:space="0" w:color="D9D9D9"/>
              <w:right w:val="single" w:sz="8" w:space="0" w:color="D9D9D9"/>
            </w:tcBorders>
            <w:shd w:val="clear" w:color="000000" w:fill="FFFFFF"/>
            <w:noWrap/>
            <w:vAlign w:val="bottom"/>
          </w:tcPr>
          <w:p w14:paraId="1DE1EC11" w14:textId="77777777" w:rsidR="00AB7757" w:rsidRPr="00614379" w:rsidRDefault="00AB7757" w:rsidP="00614379">
            <w:pPr>
              <w:jc w:val="center"/>
              <w:rPr>
                <w:rFonts w:cs="Arial"/>
                <w:sz w:val="20"/>
                <w:szCs w:val="20"/>
                <w:lang w:eastAsia="en-AU"/>
              </w:rPr>
            </w:pPr>
            <w:r w:rsidRPr="00614379">
              <w:rPr>
                <w:sz w:val="20"/>
                <w:szCs w:val="20"/>
                <w:lang w:eastAsia="en-AU"/>
              </w:rPr>
              <w:t>87.3</w:t>
            </w:r>
          </w:p>
        </w:tc>
        <w:tc>
          <w:tcPr>
            <w:tcW w:w="2268" w:type="dxa"/>
            <w:tcBorders>
              <w:top w:val="nil"/>
              <w:left w:val="nil"/>
              <w:bottom w:val="single" w:sz="8" w:space="0" w:color="D9D9D9"/>
              <w:right w:val="single" w:sz="8" w:space="0" w:color="D9D9D9"/>
            </w:tcBorders>
            <w:shd w:val="clear" w:color="000000" w:fill="FFFFFF"/>
            <w:noWrap/>
            <w:vAlign w:val="bottom"/>
          </w:tcPr>
          <w:p w14:paraId="7F2A052A" w14:textId="77777777" w:rsidR="00AB7757" w:rsidRPr="00614379" w:rsidRDefault="00AB7757" w:rsidP="00614379">
            <w:pPr>
              <w:jc w:val="center"/>
              <w:rPr>
                <w:rFonts w:cs="Arial"/>
                <w:sz w:val="20"/>
                <w:szCs w:val="20"/>
                <w:lang w:eastAsia="en-AU"/>
              </w:rPr>
            </w:pPr>
            <w:r w:rsidRPr="00614379">
              <w:rPr>
                <w:sz w:val="20"/>
                <w:szCs w:val="20"/>
                <w:lang w:eastAsia="en-AU"/>
              </w:rPr>
              <w:t>92.7</w:t>
            </w:r>
          </w:p>
        </w:tc>
      </w:tr>
      <w:tr w:rsidR="00AB7757" w:rsidRPr="003E1EBA" w14:paraId="4C9213EF"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6E0"/>
            <w:noWrap/>
          </w:tcPr>
          <w:p w14:paraId="661CF62F" w14:textId="77777777" w:rsidR="00AB7757" w:rsidRPr="00614379" w:rsidRDefault="00AB7757" w:rsidP="005267D3">
            <w:pPr>
              <w:rPr>
                <w:sz w:val="20"/>
                <w:szCs w:val="20"/>
                <w:lang w:eastAsia="en-AU"/>
              </w:rPr>
            </w:pPr>
            <w:r w:rsidRPr="00614379">
              <w:rPr>
                <w:sz w:val="20"/>
                <w:szCs w:val="20"/>
                <w:lang w:eastAsia="en-AU"/>
              </w:rPr>
              <w:t xml:space="preserve">Median Salary ($) </w:t>
            </w:r>
          </w:p>
        </w:tc>
        <w:tc>
          <w:tcPr>
            <w:tcW w:w="2268" w:type="dxa"/>
            <w:tcBorders>
              <w:top w:val="nil"/>
              <w:left w:val="nil"/>
              <w:bottom w:val="single" w:sz="8" w:space="0" w:color="D9D9D9"/>
              <w:right w:val="single" w:sz="8" w:space="0" w:color="D9D9D9"/>
            </w:tcBorders>
            <w:shd w:val="clear" w:color="000000" w:fill="FFF6E0"/>
            <w:noWrap/>
            <w:vAlign w:val="bottom"/>
          </w:tcPr>
          <w:p w14:paraId="001D477D" w14:textId="5B00A058" w:rsidR="00AB7757" w:rsidRPr="00614379" w:rsidRDefault="00AB7757" w:rsidP="00614379">
            <w:pPr>
              <w:jc w:val="center"/>
              <w:rPr>
                <w:rFonts w:cs="Arial"/>
                <w:sz w:val="20"/>
                <w:szCs w:val="20"/>
                <w:lang w:eastAsia="en-AU"/>
              </w:rPr>
            </w:pPr>
            <w:r w:rsidRPr="00614379">
              <w:rPr>
                <w:sz w:val="20"/>
                <w:szCs w:val="20"/>
                <w:lang w:eastAsia="en-AU"/>
              </w:rPr>
              <w:t>61,800</w:t>
            </w:r>
          </w:p>
        </w:tc>
        <w:tc>
          <w:tcPr>
            <w:tcW w:w="2268" w:type="dxa"/>
            <w:tcBorders>
              <w:top w:val="nil"/>
              <w:left w:val="nil"/>
              <w:bottom w:val="single" w:sz="8" w:space="0" w:color="D9D9D9"/>
              <w:right w:val="single" w:sz="8" w:space="0" w:color="D9D9D9"/>
            </w:tcBorders>
            <w:shd w:val="clear" w:color="000000" w:fill="FFF6E0"/>
            <w:noWrap/>
            <w:vAlign w:val="bottom"/>
          </w:tcPr>
          <w:p w14:paraId="7E4C34CA" w14:textId="42143DE4" w:rsidR="00AB7757" w:rsidRPr="00614379" w:rsidRDefault="00AB7757" w:rsidP="00614379">
            <w:pPr>
              <w:jc w:val="center"/>
              <w:rPr>
                <w:rFonts w:cs="Arial"/>
                <w:sz w:val="20"/>
                <w:szCs w:val="20"/>
                <w:lang w:eastAsia="en-AU"/>
              </w:rPr>
            </w:pPr>
            <w:r w:rsidRPr="00614379">
              <w:rPr>
                <w:sz w:val="20"/>
                <w:szCs w:val="20"/>
                <w:lang w:eastAsia="en-AU"/>
              </w:rPr>
              <w:t>60,000</w:t>
            </w:r>
          </w:p>
        </w:tc>
      </w:tr>
      <w:tr w:rsidR="00AB7757" w:rsidRPr="003E1EBA" w14:paraId="7DCCA172"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FFF"/>
            <w:noWrap/>
            <w:vAlign w:val="center"/>
          </w:tcPr>
          <w:p w14:paraId="1B1384EE" w14:textId="77777777" w:rsidR="00AB7757" w:rsidRPr="00614379" w:rsidRDefault="00AB7757" w:rsidP="005267D3">
            <w:pPr>
              <w:rPr>
                <w:sz w:val="20"/>
                <w:szCs w:val="20"/>
                <w:lang w:eastAsia="en-AU"/>
              </w:rPr>
            </w:pPr>
          </w:p>
        </w:tc>
        <w:tc>
          <w:tcPr>
            <w:tcW w:w="2268" w:type="dxa"/>
            <w:tcBorders>
              <w:top w:val="nil"/>
              <w:left w:val="nil"/>
              <w:bottom w:val="single" w:sz="8" w:space="0" w:color="D9D9D9"/>
              <w:right w:val="single" w:sz="8" w:space="0" w:color="D9D9D9"/>
            </w:tcBorders>
            <w:shd w:val="clear" w:color="000000" w:fill="FFFFFF"/>
            <w:noWrap/>
            <w:vAlign w:val="bottom"/>
          </w:tcPr>
          <w:p w14:paraId="56DF4E6A" w14:textId="77777777" w:rsidR="00AB7757" w:rsidRPr="00614379" w:rsidRDefault="00AB7757" w:rsidP="00614379">
            <w:pPr>
              <w:jc w:val="center"/>
              <w:rPr>
                <w:sz w:val="20"/>
                <w:szCs w:val="20"/>
                <w:lang w:eastAsia="en-AU"/>
              </w:rPr>
            </w:pPr>
          </w:p>
        </w:tc>
        <w:tc>
          <w:tcPr>
            <w:tcW w:w="2268" w:type="dxa"/>
            <w:tcBorders>
              <w:top w:val="nil"/>
              <w:left w:val="nil"/>
              <w:bottom w:val="single" w:sz="8" w:space="0" w:color="D9D9D9"/>
              <w:right w:val="single" w:sz="8" w:space="0" w:color="D9D9D9"/>
            </w:tcBorders>
            <w:shd w:val="clear" w:color="000000" w:fill="FFFFFF"/>
            <w:noWrap/>
            <w:vAlign w:val="bottom"/>
          </w:tcPr>
          <w:p w14:paraId="4FD01BF0" w14:textId="77777777" w:rsidR="00AB7757" w:rsidRPr="00614379" w:rsidRDefault="00AB7757" w:rsidP="00614379">
            <w:pPr>
              <w:jc w:val="center"/>
              <w:rPr>
                <w:sz w:val="20"/>
                <w:szCs w:val="20"/>
                <w:lang w:eastAsia="en-AU"/>
              </w:rPr>
            </w:pPr>
          </w:p>
        </w:tc>
      </w:tr>
      <w:tr w:rsidR="00AB7757" w:rsidRPr="003E1EBA" w14:paraId="415C2B51"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6E0"/>
            <w:noWrap/>
            <w:vAlign w:val="center"/>
          </w:tcPr>
          <w:p w14:paraId="2E5A9BC2" w14:textId="77777777" w:rsidR="00AB7757" w:rsidRPr="00614379" w:rsidRDefault="00AB7757" w:rsidP="005267D3">
            <w:pPr>
              <w:rPr>
                <w:b/>
                <w:sz w:val="20"/>
                <w:szCs w:val="20"/>
                <w:lang w:eastAsia="en-AU"/>
              </w:rPr>
            </w:pPr>
            <w:r w:rsidRPr="00614379">
              <w:rPr>
                <w:b/>
                <w:sz w:val="20"/>
                <w:szCs w:val="20"/>
                <w:lang w:eastAsia="en-AU"/>
              </w:rPr>
              <w:t>Medium-term Outcomes (Three Year)</w:t>
            </w:r>
            <w:r w:rsidRPr="00614379">
              <w:rPr>
                <w:b/>
                <w:sz w:val="20"/>
                <w:szCs w:val="20"/>
                <w:vertAlign w:val="superscript"/>
                <w:lang w:eastAsia="en-AU"/>
              </w:rPr>
              <w:t>1</w:t>
            </w:r>
            <w:r w:rsidRPr="00614379">
              <w:rPr>
                <w:b/>
                <w:sz w:val="20"/>
                <w:szCs w:val="20"/>
                <w:lang w:eastAsia="en-AU"/>
              </w:rPr>
              <w:t xml:space="preserve"> </w:t>
            </w:r>
          </w:p>
        </w:tc>
        <w:tc>
          <w:tcPr>
            <w:tcW w:w="2268" w:type="dxa"/>
            <w:tcBorders>
              <w:top w:val="nil"/>
              <w:left w:val="nil"/>
              <w:bottom w:val="single" w:sz="8" w:space="0" w:color="D9D9D9"/>
              <w:right w:val="single" w:sz="8" w:space="0" w:color="D9D9D9"/>
            </w:tcBorders>
            <w:shd w:val="clear" w:color="000000" w:fill="FFF6E0"/>
            <w:noWrap/>
            <w:vAlign w:val="bottom"/>
          </w:tcPr>
          <w:p w14:paraId="6516395E" w14:textId="77777777" w:rsidR="00AB7757" w:rsidRPr="00614379" w:rsidRDefault="00AB7757" w:rsidP="00614379">
            <w:pPr>
              <w:jc w:val="center"/>
              <w:rPr>
                <w:sz w:val="20"/>
                <w:szCs w:val="20"/>
                <w:lang w:eastAsia="en-AU"/>
              </w:rPr>
            </w:pPr>
          </w:p>
        </w:tc>
        <w:tc>
          <w:tcPr>
            <w:tcW w:w="2268" w:type="dxa"/>
            <w:tcBorders>
              <w:top w:val="nil"/>
              <w:left w:val="nil"/>
              <w:bottom w:val="single" w:sz="8" w:space="0" w:color="D9D9D9"/>
              <w:right w:val="single" w:sz="8" w:space="0" w:color="D9D9D9"/>
            </w:tcBorders>
            <w:shd w:val="clear" w:color="000000" w:fill="FFF6E0"/>
            <w:noWrap/>
            <w:vAlign w:val="bottom"/>
          </w:tcPr>
          <w:p w14:paraId="20A3A776" w14:textId="77777777" w:rsidR="00AB7757" w:rsidRPr="00614379" w:rsidRDefault="00AB7757" w:rsidP="00614379">
            <w:pPr>
              <w:jc w:val="center"/>
              <w:rPr>
                <w:sz w:val="20"/>
                <w:szCs w:val="20"/>
                <w:lang w:eastAsia="en-AU"/>
              </w:rPr>
            </w:pPr>
          </w:p>
        </w:tc>
      </w:tr>
      <w:tr w:rsidR="00AB7757" w:rsidRPr="003E1EBA" w14:paraId="782A1F23"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auto" w:fill="auto"/>
            <w:noWrap/>
            <w:vAlign w:val="center"/>
          </w:tcPr>
          <w:p w14:paraId="07F686EA" w14:textId="77777777" w:rsidR="00AB7757" w:rsidRPr="00614379" w:rsidRDefault="00AB7757" w:rsidP="005267D3">
            <w:pPr>
              <w:rPr>
                <w:sz w:val="20"/>
                <w:szCs w:val="20"/>
                <w:lang w:eastAsia="en-AU"/>
              </w:rPr>
            </w:pPr>
            <w:r w:rsidRPr="00614379">
              <w:rPr>
                <w:sz w:val="20"/>
                <w:szCs w:val="20"/>
                <w:lang w:eastAsia="en-AU"/>
              </w:rPr>
              <w:t>Full-time Employment (%)</w:t>
            </w:r>
          </w:p>
        </w:tc>
        <w:tc>
          <w:tcPr>
            <w:tcW w:w="2268" w:type="dxa"/>
            <w:tcBorders>
              <w:top w:val="nil"/>
              <w:left w:val="nil"/>
              <w:bottom w:val="single" w:sz="8" w:space="0" w:color="D9D9D9"/>
              <w:right w:val="single" w:sz="8" w:space="0" w:color="D9D9D9"/>
            </w:tcBorders>
            <w:shd w:val="clear" w:color="auto" w:fill="auto"/>
            <w:noWrap/>
            <w:vAlign w:val="bottom"/>
          </w:tcPr>
          <w:p w14:paraId="17A2733C" w14:textId="77777777" w:rsidR="00AB7757" w:rsidRPr="00614379" w:rsidRDefault="00AB7757" w:rsidP="00614379">
            <w:pPr>
              <w:jc w:val="center"/>
              <w:rPr>
                <w:rFonts w:cs="Arial"/>
                <w:sz w:val="20"/>
                <w:szCs w:val="20"/>
                <w:lang w:eastAsia="en-AU"/>
              </w:rPr>
            </w:pPr>
            <w:r w:rsidRPr="00614379">
              <w:rPr>
                <w:sz w:val="20"/>
                <w:szCs w:val="20"/>
                <w:lang w:eastAsia="en-AU"/>
              </w:rPr>
              <w:t>83.0</w:t>
            </w:r>
          </w:p>
        </w:tc>
        <w:tc>
          <w:tcPr>
            <w:tcW w:w="2268" w:type="dxa"/>
            <w:tcBorders>
              <w:top w:val="nil"/>
              <w:left w:val="nil"/>
              <w:bottom w:val="single" w:sz="8" w:space="0" w:color="D9D9D9"/>
              <w:right w:val="single" w:sz="8" w:space="0" w:color="D9D9D9"/>
            </w:tcBorders>
            <w:shd w:val="clear" w:color="auto" w:fill="auto"/>
            <w:noWrap/>
            <w:vAlign w:val="bottom"/>
          </w:tcPr>
          <w:p w14:paraId="4E2B8F6D" w14:textId="77777777" w:rsidR="00AB7757" w:rsidRPr="00614379" w:rsidRDefault="00AB7757" w:rsidP="00614379">
            <w:pPr>
              <w:jc w:val="center"/>
              <w:rPr>
                <w:rFonts w:cs="Arial"/>
                <w:sz w:val="20"/>
                <w:szCs w:val="20"/>
                <w:lang w:eastAsia="en-AU"/>
              </w:rPr>
            </w:pPr>
            <w:r w:rsidRPr="00614379">
              <w:rPr>
                <w:sz w:val="20"/>
                <w:szCs w:val="20"/>
                <w:lang w:eastAsia="en-AU"/>
              </w:rPr>
              <w:t>90.6</w:t>
            </w:r>
          </w:p>
        </w:tc>
      </w:tr>
      <w:tr w:rsidR="00AB7757" w:rsidRPr="003E1EBA" w14:paraId="6D7D62AE"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6E0"/>
            <w:noWrap/>
            <w:vAlign w:val="center"/>
          </w:tcPr>
          <w:p w14:paraId="02F97A0E" w14:textId="77777777" w:rsidR="00AB7757" w:rsidRPr="00614379" w:rsidRDefault="00AB7757" w:rsidP="005267D3">
            <w:pPr>
              <w:rPr>
                <w:sz w:val="20"/>
                <w:szCs w:val="20"/>
                <w:lang w:eastAsia="en-AU"/>
              </w:rPr>
            </w:pPr>
            <w:r w:rsidRPr="00614379">
              <w:rPr>
                <w:sz w:val="20"/>
                <w:szCs w:val="20"/>
                <w:lang w:eastAsia="en-AU"/>
              </w:rPr>
              <w:t>Overall Employment (%)</w:t>
            </w:r>
          </w:p>
        </w:tc>
        <w:tc>
          <w:tcPr>
            <w:tcW w:w="2268" w:type="dxa"/>
            <w:tcBorders>
              <w:top w:val="nil"/>
              <w:left w:val="nil"/>
              <w:bottom w:val="single" w:sz="8" w:space="0" w:color="D9D9D9"/>
              <w:right w:val="single" w:sz="8" w:space="0" w:color="D9D9D9"/>
            </w:tcBorders>
            <w:shd w:val="clear" w:color="000000" w:fill="FFF6E0"/>
            <w:noWrap/>
            <w:vAlign w:val="bottom"/>
          </w:tcPr>
          <w:p w14:paraId="37CC13C6" w14:textId="77777777" w:rsidR="00AB7757" w:rsidRPr="00614379" w:rsidRDefault="00AB7757" w:rsidP="00614379">
            <w:pPr>
              <w:jc w:val="center"/>
              <w:rPr>
                <w:rFonts w:cs="Arial"/>
                <w:sz w:val="20"/>
                <w:szCs w:val="20"/>
                <w:lang w:eastAsia="en-AU"/>
              </w:rPr>
            </w:pPr>
            <w:r w:rsidRPr="00614379">
              <w:rPr>
                <w:sz w:val="20"/>
                <w:szCs w:val="20"/>
                <w:lang w:eastAsia="en-AU"/>
              </w:rPr>
              <w:t>87.2</w:t>
            </w:r>
          </w:p>
        </w:tc>
        <w:tc>
          <w:tcPr>
            <w:tcW w:w="2268" w:type="dxa"/>
            <w:tcBorders>
              <w:top w:val="nil"/>
              <w:left w:val="nil"/>
              <w:bottom w:val="single" w:sz="8" w:space="0" w:color="D9D9D9"/>
              <w:right w:val="single" w:sz="8" w:space="0" w:color="D9D9D9"/>
            </w:tcBorders>
            <w:shd w:val="clear" w:color="000000" w:fill="FFF6E0"/>
            <w:noWrap/>
            <w:vAlign w:val="bottom"/>
          </w:tcPr>
          <w:p w14:paraId="2B1F5E9C" w14:textId="77777777" w:rsidR="00AB7757" w:rsidRPr="00614379" w:rsidRDefault="00AB7757" w:rsidP="00614379">
            <w:pPr>
              <w:jc w:val="center"/>
              <w:rPr>
                <w:rFonts w:cs="Arial"/>
                <w:sz w:val="20"/>
                <w:szCs w:val="20"/>
                <w:lang w:eastAsia="en-AU"/>
              </w:rPr>
            </w:pPr>
            <w:r w:rsidRPr="00614379">
              <w:rPr>
                <w:sz w:val="20"/>
                <w:szCs w:val="20"/>
                <w:lang w:eastAsia="en-AU"/>
              </w:rPr>
              <w:t>93.8</w:t>
            </w:r>
          </w:p>
        </w:tc>
      </w:tr>
      <w:tr w:rsidR="00AB7757" w:rsidRPr="003E1EBA" w14:paraId="3DE67E2F"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auto" w:fill="auto"/>
            <w:noWrap/>
          </w:tcPr>
          <w:p w14:paraId="7E3FAF82" w14:textId="77777777" w:rsidR="00AB7757" w:rsidRPr="00614379" w:rsidRDefault="00AB7757" w:rsidP="005267D3">
            <w:pPr>
              <w:rPr>
                <w:sz w:val="20"/>
                <w:szCs w:val="20"/>
                <w:lang w:eastAsia="en-AU"/>
              </w:rPr>
            </w:pPr>
            <w:r w:rsidRPr="00614379">
              <w:rPr>
                <w:sz w:val="20"/>
                <w:szCs w:val="20"/>
                <w:lang w:eastAsia="en-AU"/>
              </w:rPr>
              <w:t xml:space="preserve">Labour Force Participation (%) </w:t>
            </w:r>
          </w:p>
        </w:tc>
        <w:tc>
          <w:tcPr>
            <w:tcW w:w="2268" w:type="dxa"/>
            <w:tcBorders>
              <w:top w:val="nil"/>
              <w:left w:val="nil"/>
              <w:bottom w:val="single" w:sz="8" w:space="0" w:color="D9D9D9"/>
              <w:right w:val="single" w:sz="8" w:space="0" w:color="D9D9D9"/>
            </w:tcBorders>
            <w:shd w:val="clear" w:color="auto" w:fill="auto"/>
            <w:noWrap/>
            <w:vAlign w:val="bottom"/>
          </w:tcPr>
          <w:p w14:paraId="6C3D09A2" w14:textId="77777777" w:rsidR="00AB7757" w:rsidRPr="00614379" w:rsidRDefault="00AB7757" w:rsidP="00614379">
            <w:pPr>
              <w:jc w:val="center"/>
              <w:rPr>
                <w:rFonts w:cs="Arial"/>
                <w:sz w:val="20"/>
                <w:szCs w:val="20"/>
                <w:lang w:eastAsia="en-AU"/>
              </w:rPr>
            </w:pPr>
            <w:r w:rsidRPr="00614379">
              <w:rPr>
                <w:sz w:val="20"/>
                <w:szCs w:val="20"/>
                <w:lang w:eastAsia="en-AU"/>
              </w:rPr>
              <w:t>88.4</w:t>
            </w:r>
          </w:p>
        </w:tc>
        <w:tc>
          <w:tcPr>
            <w:tcW w:w="2268" w:type="dxa"/>
            <w:tcBorders>
              <w:top w:val="nil"/>
              <w:left w:val="nil"/>
              <w:bottom w:val="single" w:sz="8" w:space="0" w:color="D9D9D9"/>
              <w:right w:val="single" w:sz="8" w:space="0" w:color="D9D9D9"/>
            </w:tcBorders>
            <w:shd w:val="clear" w:color="auto" w:fill="auto"/>
            <w:noWrap/>
            <w:vAlign w:val="bottom"/>
          </w:tcPr>
          <w:p w14:paraId="7CA76BFB" w14:textId="77777777" w:rsidR="00AB7757" w:rsidRPr="00614379" w:rsidRDefault="00AB7757" w:rsidP="00614379">
            <w:pPr>
              <w:jc w:val="center"/>
              <w:rPr>
                <w:rFonts w:cs="Arial"/>
                <w:sz w:val="20"/>
                <w:szCs w:val="20"/>
                <w:lang w:eastAsia="en-AU"/>
              </w:rPr>
            </w:pPr>
            <w:r w:rsidRPr="00614379">
              <w:rPr>
                <w:sz w:val="20"/>
                <w:szCs w:val="20"/>
                <w:lang w:eastAsia="en-AU"/>
              </w:rPr>
              <w:t>92.6</w:t>
            </w:r>
          </w:p>
        </w:tc>
      </w:tr>
      <w:tr w:rsidR="00AB7757" w:rsidRPr="003E1EBA" w14:paraId="0DCC3196" w14:textId="77777777" w:rsidTr="00614379">
        <w:trPr>
          <w:trHeight w:hRule="exact" w:val="312"/>
        </w:trPr>
        <w:tc>
          <w:tcPr>
            <w:tcW w:w="4395" w:type="dxa"/>
            <w:tcBorders>
              <w:top w:val="nil"/>
              <w:left w:val="single" w:sz="8" w:space="0" w:color="D9D9D9"/>
              <w:bottom w:val="single" w:sz="8" w:space="0" w:color="D9D9D9"/>
              <w:right w:val="single" w:sz="8" w:space="0" w:color="D9D9D9"/>
            </w:tcBorders>
            <w:shd w:val="clear" w:color="000000" w:fill="FFF6E0"/>
            <w:noWrap/>
          </w:tcPr>
          <w:p w14:paraId="4E83B09B" w14:textId="77777777" w:rsidR="00AB7757" w:rsidRPr="00614379" w:rsidRDefault="00AB7757" w:rsidP="005267D3">
            <w:pPr>
              <w:rPr>
                <w:sz w:val="20"/>
                <w:szCs w:val="20"/>
                <w:lang w:eastAsia="en-AU"/>
              </w:rPr>
            </w:pPr>
            <w:r w:rsidRPr="00614379">
              <w:rPr>
                <w:sz w:val="20"/>
                <w:szCs w:val="20"/>
                <w:lang w:eastAsia="en-AU"/>
              </w:rPr>
              <w:t xml:space="preserve">Median Salary ($) </w:t>
            </w:r>
          </w:p>
        </w:tc>
        <w:tc>
          <w:tcPr>
            <w:tcW w:w="2268" w:type="dxa"/>
            <w:tcBorders>
              <w:top w:val="nil"/>
              <w:left w:val="nil"/>
              <w:bottom w:val="single" w:sz="8" w:space="0" w:color="D9D9D9"/>
              <w:right w:val="single" w:sz="8" w:space="0" w:color="D9D9D9"/>
            </w:tcBorders>
            <w:shd w:val="clear" w:color="000000" w:fill="FFF6E0"/>
            <w:noWrap/>
            <w:vAlign w:val="bottom"/>
          </w:tcPr>
          <w:p w14:paraId="2D1B1ADA" w14:textId="1D971937" w:rsidR="00AB7757" w:rsidRPr="00614379" w:rsidRDefault="00AB7757" w:rsidP="00614379">
            <w:pPr>
              <w:jc w:val="center"/>
              <w:rPr>
                <w:rFonts w:cs="Arial"/>
                <w:sz w:val="20"/>
                <w:szCs w:val="20"/>
                <w:lang w:eastAsia="en-AU"/>
              </w:rPr>
            </w:pPr>
            <w:r w:rsidRPr="00614379">
              <w:rPr>
                <w:sz w:val="20"/>
                <w:szCs w:val="20"/>
                <w:lang w:eastAsia="en-AU"/>
              </w:rPr>
              <w:t>73,100</w:t>
            </w:r>
          </w:p>
        </w:tc>
        <w:tc>
          <w:tcPr>
            <w:tcW w:w="2268" w:type="dxa"/>
            <w:tcBorders>
              <w:top w:val="nil"/>
              <w:left w:val="nil"/>
              <w:bottom w:val="single" w:sz="8" w:space="0" w:color="D9D9D9"/>
              <w:right w:val="single" w:sz="8" w:space="0" w:color="D9D9D9"/>
            </w:tcBorders>
            <w:shd w:val="clear" w:color="000000" w:fill="FFF6E0"/>
            <w:noWrap/>
            <w:vAlign w:val="bottom"/>
          </w:tcPr>
          <w:p w14:paraId="03E1F04B" w14:textId="48AF0E19" w:rsidR="00AB7757" w:rsidRPr="00614379" w:rsidRDefault="00AB7757" w:rsidP="00614379">
            <w:pPr>
              <w:jc w:val="center"/>
              <w:rPr>
                <w:rFonts w:cs="Arial"/>
                <w:sz w:val="20"/>
                <w:szCs w:val="20"/>
                <w:lang w:eastAsia="en-AU"/>
              </w:rPr>
            </w:pPr>
            <w:r w:rsidRPr="00614379">
              <w:rPr>
                <w:sz w:val="20"/>
                <w:szCs w:val="20"/>
                <w:lang w:eastAsia="en-AU"/>
              </w:rPr>
              <w:t>75,000</w:t>
            </w:r>
          </w:p>
        </w:tc>
      </w:tr>
    </w:tbl>
    <w:p w14:paraId="522CE487" w14:textId="4A54C5A7" w:rsidR="00AB7757" w:rsidRPr="00614379" w:rsidRDefault="00AB7757" w:rsidP="00614379">
      <w:pPr>
        <w:spacing w:before="240" w:line="240" w:lineRule="auto"/>
        <w:rPr>
          <w:sz w:val="18"/>
          <w:szCs w:val="18"/>
        </w:rPr>
      </w:pPr>
      <w:r w:rsidRPr="00614379">
        <w:rPr>
          <w:b/>
          <w:sz w:val="18"/>
          <w:szCs w:val="18"/>
        </w:rPr>
        <w:t xml:space="preserve">Notes: </w:t>
      </w:r>
      <w:r w:rsidRPr="00614379">
        <w:rPr>
          <w:sz w:val="18"/>
          <w:szCs w:val="18"/>
        </w:rPr>
        <w:t xml:space="preserve">1. “Short-term” and “Medium-term” outcomes are for respondents to the 2020 Graduate Outcomes Survey </w:t>
      </w:r>
      <w:r w:rsidRPr="00614379">
        <w:rPr>
          <w:sz w:val="18"/>
          <w:szCs w:val="18"/>
        </w:rPr>
        <w:br/>
        <w:t xml:space="preserve">in their first (2020), and third (2017), year respectively since graduation.  </w:t>
      </w:r>
      <w:r w:rsidR="00614379">
        <w:rPr>
          <w:sz w:val="18"/>
          <w:szCs w:val="18"/>
        </w:rPr>
        <w:br/>
      </w:r>
      <w:r w:rsidRPr="00614379">
        <w:rPr>
          <w:b/>
          <w:sz w:val="18"/>
          <w:szCs w:val="18"/>
        </w:rPr>
        <w:t>Source:</w:t>
      </w:r>
      <w:r w:rsidRPr="00614379">
        <w:rPr>
          <w:sz w:val="18"/>
          <w:szCs w:val="18"/>
        </w:rPr>
        <w:t xml:space="preserve"> Quality Indicators for Learning and Teaching (2020), Report 2 Table: “Short- and medium-term undergraduate outcomes by demographic group”.</w:t>
      </w:r>
    </w:p>
    <w:p w14:paraId="222C1C2B" w14:textId="114154CF" w:rsidR="00227C17" w:rsidRDefault="00227C17" w:rsidP="009B1A1C">
      <w:pPr>
        <w:spacing w:before="240"/>
        <w:rPr>
          <w:rFonts w:ascii="ArialMT" w:hAnsi="ArialMT" w:cs="ArialMT"/>
        </w:rPr>
      </w:pPr>
      <w:r>
        <w:t>Research funded by the NCSEHE confirms that the impact of disability is particularly prevalent among graduates facing issues of compounding disadvantage. In a major study of Australian university graduates (n=140,192), Richardson et al. (2016) observed that in addition to students with disability having overall lower levels of employment, it was apparent that “</w:t>
      </w:r>
      <w:r>
        <w:rPr>
          <w:rFonts w:ascii="ArialMT" w:hAnsi="ArialMT" w:cs="ArialMT"/>
        </w:rPr>
        <w:t xml:space="preserve">multiple categories of disadvantage had a negative impact on graduate employment. The most significant of these was </w:t>
      </w:r>
      <w:r>
        <w:rPr>
          <w:rFonts w:ascii="ArialMT" w:hAnsi="ArialMT" w:cs="ArialMT"/>
        </w:rPr>
        <w:lastRenderedPageBreak/>
        <w:t xml:space="preserve">disability which was identified as a key factor in the post-graduation employment” (p. 6). Graduates with disability were also less likely to be in full-time employment and earned less on average than other graduates. In addition, equity students from all other groups had a lower likelihood of employment if they also had a disability. </w:t>
      </w:r>
    </w:p>
    <w:p w14:paraId="4089BE01" w14:textId="200FC345" w:rsidR="00AB7757" w:rsidRDefault="00AB7757" w:rsidP="005267D3">
      <w:r>
        <w:t>While progress has been made in improving labour force outcomes for students with disability, the gap in outcomes</w:t>
      </w:r>
      <w:r w:rsidR="008E2991">
        <w:t xml:space="preserve"> compared to those of students without disability,</w:t>
      </w:r>
      <w:r>
        <w:t xml:space="preserve"> most notably in full-time participation, but also in earnings after three years in the workforce, indicates that general student policy around employability needs to take </w:t>
      </w:r>
      <w:r w:rsidR="00BB6123">
        <w:t xml:space="preserve">the needs of students with disability </w:t>
      </w:r>
      <w:r>
        <w:t xml:space="preserve">into specific consideration. </w:t>
      </w:r>
      <w:r w:rsidRPr="00E1160B">
        <w:t xml:space="preserve">For this reason, the </w:t>
      </w:r>
      <w:r w:rsidRPr="00E1160B">
        <w:rPr>
          <w:i/>
        </w:rPr>
        <w:t>Review of</w:t>
      </w:r>
      <w:r>
        <w:rPr>
          <w:i/>
        </w:rPr>
        <w:t xml:space="preserve"> Senior</w:t>
      </w:r>
      <w:r w:rsidRPr="00E1160B">
        <w:rPr>
          <w:i/>
        </w:rPr>
        <w:t xml:space="preserve"> Secondary</w:t>
      </w:r>
      <w:r>
        <w:rPr>
          <w:i/>
        </w:rPr>
        <w:t xml:space="preserve"> Pathways</w:t>
      </w:r>
      <w:r>
        <w:t xml:space="preserve">’ recommendation on providing both a policy impetus and resourcing for post-school transition is welcome. Importantly, a similar need exists at the higher education level, and so the NCSEHE recommends that the </w:t>
      </w:r>
      <w:r w:rsidR="00294A7F">
        <w:t xml:space="preserve">current </w:t>
      </w:r>
      <w:r>
        <w:t>Review consider ways in which employability</w:t>
      </w:r>
      <w:r w:rsidR="00BE5604">
        <w:t xml:space="preserve"> skills</w:t>
      </w:r>
      <w:r>
        <w:t xml:space="preserve"> and work </w:t>
      </w:r>
      <w:r w:rsidR="00BE5604">
        <w:t xml:space="preserve">options programs </w:t>
      </w:r>
      <w:r>
        <w:t xml:space="preserve">can be extended across the educational life cycle. </w:t>
      </w:r>
    </w:p>
    <w:p w14:paraId="4866D151" w14:textId="18F8AC45" w:rsidR="007F5024" w:rsidRPr="00AE784C" w:rsidRDefault="007F5024" w:rsidP="003C7447">
      <w:pPr>
        <w:pBdr>
          <w:left w:val="single" w:sz="4" w:space="4" w:color="auto"/>
        </w:pBdr>
        <w:spacing w:before="360"/>
        <w:ind w:left="720"/>
      </w:pPr>
      <w:r w:rsidRPr="007B7B14">
        <w:rPr>
          <w:b/>
          <w:bCs/>
        </w:rPr>
        <w:t xml:space="preserve">Recommendation </w:t>
      </w:r>
      <w:r>
        <w:rPr>
          <w:b/>
          <w:bCs/>
        </w:rPr>
        <w:t>10</w:t>
      </w:r>
      <w:r w:rsidRPr="007B7B14">
        <w:rPr>
          <w:b/>
          <w:bCs/>
        </w:rPr>
        <w:t>:</w:t>
      </w:r>
      <w:r w:rsidRPr="007B7B14">
        <w:t xml:space="preserve"> </w:t>
      </w:r>
      <w:r w:rsidRPr="00B960DB">
        <w:t>That the Standards provide clearer guidance on the transition to employment, ensuring students with disability are provided with consistent and relevant guidance on employability skills and work options.</w:t>
      </w:r>
    </w:p>
    <w:p w14:paraId="768A1CA7" w14:textId="76E6BA8C" w:rsidR="00AB7757" w:rsidRDefault="00AB7757" w:rsidP="005267D3"/>
    <w:p w14:paraId="6193F8BF" w14:textId="352AA201" w:rsidR="005251E8" w:rsidRDefault="005251E8" w:rsidP="005267D3"/>
    <w:p w14:paraId="1F72A498" w14:textId="5D2F7F5A" w:rsidR="00FA062A" w:rsidRPr="00FA062A" w:rsidRDefault="00FA062A" w:rsidP="005267D3">
      <w:pPr>
        <w:pStyle w:val="Heading1"/>
      </w:pPr>
      <w:r w:rsidRPr="00FA062A">
        <w:br w:type="page"/>
      </w:r>
    </w:p>
    <w:p w14:paraId="02BD0362" w14:textId="0CF9A96B" w:rsidR="00D01EC1" w:rsidRPr="00AD0696" w:rsidRDefault="004F4A43" w:rsidP="005267D3">
      <w:pPr>
        <w:pStyle w:val="Heading1"/>
      </w:pPr>
      <w:bookmarkStart w:id="18" w:name="_Toc51830732"/>
      <w:r w:rsidRPr="00AD0696">
        <w:lastRenderedPageBreak/>
        <w:t>Recommendations</w:t>
      </w:r>
      <w:bookmarkEnd w:id="18"/>
    </w:p>
    <w:p w14:paraId="764A8919" w14:textId="1B6A5A3F" w:rsidR="005267D3" w:rsidRDefault="001D359F" w:rsidP="005267D3">
      <w:pPr>
        <w:spacing w:after="240"/>
      </w:pPr>
      <w:r w:rsidRPr="122A4E9A">
        <w:t xml:space="preserve">The NCSEHE </w:t>
      </w:r>
      <w:r w:rsidR="00967C2E">
        <w:t>supports the</w:t>
      </w:r>
      <w:r w:rsidR="00F4464B">
        <w:t xml:space="preserve"> ongoing implementation of </w:t>
      </w:r>
      <w:r w:rsidR="00633AD8">
        <w:t>the Standards</w:t>
      </w:r>
      <w:r w:rsidR="00F4464B">
        <w:t xml:space="preserve"> in Australian higher education. </w:t>
      </w:r>
      <w:r w:rsidR="00C73146" w:rsidRPr="122A4E9A">
        <w:t xml:space="preserve">Based on the </w:t>
      </w:r>
      <w:r w:rsidR="002B2EEF">
        <w:t>NCSEHE</w:t>
      </w:r>
      <w:r w:rsidR="000552AE">
        <w:t>’s</w:t>
      </w:r>
      <w:r w:rsidR="002B2EEF">
        <w:t xml:space="preserve"> </w:t>
      </w:r>
      <w:r w:rsidR="00C73146" w:rsidRPr="122A4E9A">
        <w:t>research and policy work</w:t>
      </w:r>
      <w:r w:rsidR="00CA166B">
        <w:t>,</w:t>
      </w:r>
      <w:r w:rsidR="001E1899">
        <w:t xml:space="preserve"> and its consultation with equity stakeholders</w:t>
      </w:r>
      <w:r w:rsidR="00C73146" w:rsidRPr="122A4E9A">
        <w:t>, we propose the following recommendations</w:t>
      </w:r>
      <w:r w:rsidR="1B8A0372" w:rsidRPr="122A4E9A">
        <w:t>,</w:t>
      </w:r>
      <w:r w:rsidR="00C73146" w:rsidRPr="122A4E9A">
        <w:t xml:space="preserve"> which we hope will inform the</w:t>
      </w:r>
      <w:r w:rsidR="00CA166B">
        <w:t xml:space="preserve"> Review</w:t>
      </w:r>
      <w:r w:rsidR="00AE784C">
        <w:t xml:space="preserve">’s recommendations on changes to the </w:t>
      </w:r>
      <w:r w:rsidR="00E36946">
        <w:t>Standards</w:t>
      </w:r>
      <w:r w:rsidR="00AE784C">
        <w:t>:</w:t>
      </w:r>
    </w:p>
    <w:p w14:paraId="6E34BA20" w14:textId="77777777" w:rsidR="005267D3" w:rsidRDefault="001831C4" w:rsidP="005267D3">
      <w:pPr>
        <w:spacing w:after="240"/>
      </w:pPr>
      <w:r w:rsidRPr="001831C4">
        <w:rPr>
          <w:b/>
          <w:bCs/>
        </w:rPr>
        <w:t xml:space="preserve">Recommendation 1: </w:t>
      </w:r>
      <w:r w:rsidRPr="001831C4">
        <w:t xml:space="preserve">That the position of Disability Education Commissioner be established through the Standards, to have responsibility for the implementation of the </w:t>
      </w:r>
      <w:r w:rsidR="00633AD8">
        <w:t>Standards</w:t>
      </w:r>
      <w:r w:rsidRPr="001831C4">
        <w:t xml:space="preserve"> and other disability policy initiatives, across all settings in Australian education.</w:t>
      </w:r>
    </w:p>
    <w:p w14:paraId="1F2B2A89" w14:textId="77777777" w:rsidR="005267D3" w:rsidRDefault="00A3256F" w:rsidP="005267D3">
      <w:pPr>
        <w:spacing w:after="240"/>
      </w:pPr>
      <w:r w:rsidRPr="00A3256F">
        <w:rPr>
          <w:b/>
          <w:bCs/>
        </w:rPr>
        <w:t xml:space="preserve">Recommendation 2: </w:t>
      </w:r>
      <w:r w:rsidR="00F47E73" w:rsidRPr="106A0044">
        <w:t xml:space="preserve">That the Standards require </w:t>
      </w:r>
      <w:r w:rsidR="00F47E73">
        <w:t xml:space="preserve">the </w:t>
      </w:r>
      <w:r w:rsidR="00F47E73" w:rsidRPr="106A0044">
        <w:t xml:space="preserve">identification of disability </w:t>
      </w:r>
      <w:r w:rsidR="00F47E73">
        <w:t xml:space="preserve">be </w:t>
      </w:r>
      <w:r w:rsidR="00F47E73" w:rsidRPr="106A0044">
        <w:t>complemented with contextual information that allows for a more nuanced and meaningful understanding of student experience and need.</w:t>
      </w:r>
    </w:p>
    <w:p w14:paraId="67FD8B90" w14:textId="77777777" w:rsidR="005267D3" w:rsidRDefault="00A3256F" w:rsidP="005267D3">
      <w:pPr>
        <w:spacing w:after="240"/>
      </w:pPr>
      <w:r w:rsidRPr="00A3256F">
        <w:rPr>
          <w:b/>
          <w:bCs/>
        </w:rPr>
        <w:t xml:space="preserve">Recommendation 3: </w:t>
      </w:r>
      <w:r w:rsidRPr="00A3256F">
        <w:t xml:space="preserve">That the Standards impose a stronger requirement </w:t>
      </w:r>
      <w:r w:rsidR="00EC120D">
        <w:t>on</w:t>
      </w:r>
      <w:r w:rsidRPr="00A3256F">
        <w:t xml:space="preserve"> institutions to </w:t>
      </w:r>
      <w:r w:rsidR="004D2603" w:rsidRPr="00A3256F">
        <w:t>adopt a</w:t>
      </w:r>
      <w:r w:rsidRPr="00A3256F">
        <w:t xml:space="preserve"> universal design approach to disability, whereby the presence of students with disability is assumed, regardless of disclosure, with available data used to inform the development of inclusive policy and practice.</w:t>
      </w:r>
    </w:p>
    <w:p w14:paraId="6E1164CB" w14:textId="77777777" w:rsidR="005267D3" w:rsidRDefault="00C55E9C" w:rsidP="005267D3">
      <w:pPr>
        <w:spacing w:after="240"/>
      </w:pPr>
      <w:r w:rsidRPr="00C55E9C">
        <w:rPr>
          <w:b/>
          <w:bCs/>
        </w:rPr>
        <w:t xml:space="preserve">Recommendation 4: </w:t>
      </w:r>
      <w:r w:rsidRPr="00C55E9C">
        <w:t>That the Standards encourage the consistent identification of disability in Australian education, both within and outside higher education and in view of the proposed development of a Unique Student Identifier for Australian education.</w:t>
      </w:r>
    </w:p>
    <w:p w14:paraId="3788ECE7" w14:textId="77777777" w:rsidR="005267D3" w:rsidRDefault="000070E2" w:rsidP="005267D3">
      <w:pPr>
        <w:spacing w:after="240"/>
      </w:pPr>
      <w:r w:rsidRPr="107610F2">
        <w:rPr>
          <w:b/>
          <w:bCs/>
        </w:rPr>
        <w:t xml:space="preserve">Recommendation </w:t>
      </w:r>
      <w:r w:rsidR="00632CB3">
        <w:rPr>
          <w:b/>
          <w:bCs/>
        </w:rPr>
        <w:t>5</w:t>
      </w:r>
      <w:r w:rsidRPr="107610F2">
        <w:rPr>
          <w:b/>
          <w:bCs/>
        </w:rPr>
        <w:t>:</w:t>
      </w:r>
      <w:r w:rsidRPr="107610F2">
        <w:t xml:space="preserve"> </w:t>
      </w:r>
      <w:r w:rsidR="00A02869" w:rsidRPr="106A0044">
        <w:t xml:space="preserve">That the Standards require </w:t>
      </w:r>
      <w:r w:rsidR="00A02869">
        <w:t xml:space="preserve">that </w:t>
      </w:r>
      <w:r w:rsidR="00A02869" w:rsidRPr="106A0044">
        <w:t>outreach activities in secondary education be accessible to students with disability.</w:t>
      </w:r>
    </w:p>
    <w:p w14:paraId="05A3AE2B" w14:textId="77777777" w:rsidR="005267D3" w:rsidRDefault="00B74062" w:rsidP="005267D3">
      <w:pPr>
        <w:spacing w:after="240"/>
      </w:pPr>
      <w:r w:rsidRPr="00B74062">
        <w:rPr>
          <w:b/>
          <w:bCs/>
        </w:rPr>
        <w:t xml:space="preserve">Recommendation 6: </w:t>
      </w:r>
      <w:r w:rsidRPr="00B74062">
        <w:t>That the Standards articulate clearer guidance about formulation of statements of inherent requirements and their communication to students at the pre-access and enrolment stages in higher education.</w:t>
      </w:r>
    </w:p>
    <w:p w14:paraId="07DBE745" w14:textId="77777777" w:rsidR="005267D3" w:rsidRDefault="00A16145" w:rsidP="005267D3">
      <w:pPr>
        <w:spacing w:after="240"/>
        <w:rPr>
          <w:b/>
          <w:bCs/>
        </w:rPr>
      </w:pPr>
      <w:r w:rsidRPr="107610F2">
        <w:rPr>
          <w:b/>
          <w:bCs/>
        </w:rPr>
        <w:t xml:space="preserve">Recommendation </w:t>
      </w:r>
      <w:r w:rsidR="00632CB3">
        <w:rPr>
          <w:b/>
          <w:bCs/>
        </w:rPr>
        <w:t>7</w:t>
      </w:r>
      <w:r w:rsidRPr="107610F2">
        <w:rPr>
          <w:b/>
          <w:bCs/>
        </w:rPr>
        <w:t>:</w:t>
      </w:r>
      <w:r w:rsidRPr="107610F2">
        <w:t xml:space="preserve"> </w:t>
      </w:r>
      <w:r w:rsidR="003F73D5" w:rsidRPr="106A0044">
        <w:t>That the Standards provide clearer guidance on the design and implementation of inherent requirements</w:t>
      </w:r>
      <w:r w:rsidR="003F73D5">
        <w:t>. That this is</w:t>
      </w:r>
      <w:r w:rsidR="003F73D5" w:rsidRPr="106A0044">
        <w:t xml:space="preserve"> coupled </w:t>
      </w:r>
      <w:r w:rsidR="00522FC4">
        <w:t>with</w:t>
      </w:r>
      <w:r w:rsidR="003F73D5">
        <w:t xml:space="preserve"> guidance on </w:t>
      </w:r>
      <w:r w:rsidR="003F73D5" w:rsidRPr="106A0044">
        <w:t>inclusive teaching practice and structures that will make the</w:t>
      </w:r>
      <w:r w:rsidR="003F73D5">
        <w:t xml:space="preserve"> Standards</w:t>
      </w:r>
      <w:r w:rsidR="003F73D5" w:rsidRPr="106A0044">
        <w:t xml:space="preserve"> integral to course and qualification design and operation.</w:t>
      </w:r>
      <w:r w:rsidR="004D4B5F" w:rsidRPr="004D4B5F">
        <w:rPr>
          <w:b/>
          <w:bCs/>
        </w:rPr>
        <w:t xml:space="preserve"> </w:t>
      </w:r>
    </w:p>
    <w:p w14:paraId="60F4CFF9" w14:textId="77777777" w:rsidR="005267D3" w:rsidRDefault="004D0242" w:rsidP="005267D3">
      <w:pPr>
        <w:spacing w:after="240"/>
      </w:pPr>
      <w:r w:rsidRPr="004D0242">
        <w:rPr>
          <w:b/>
          <w:bCs/>
        </w:rPr>
        <w:t xml:space="preserve">Recommendation </w:t>
      </w:r>
      <w:r w:rsidR="00632CB3">
        <w:rPr>
          <w:b/>
          <w:bCs/>
        </w:rPr>
        <w:t>8</w:t>
      </w:r>
      <w:r w:rsidRPr="004D0242">
        <w:rPr>
          <w:b/>
          <w:bCs/>
        </w:rPr>
        <w:t>:</w:t>
      </w:r>
      <w:r>
        <w:t xml:space="preserve"> </w:t>
      </w:r>
      <w:r w:rsidR="00B92525">
        <w:t>That t</w:t>
      </w:r>
      <w:r w:rsidR="00B92525" w:rsidRPr="106A0044">
        <w:t xml:space="preserve">he Standards </w:t>
      </w:r>
      <w:r w:rsidR="00B92525">
        <w:t>introduce a requirement for the</w:t>
      </w:r>
      <w:r w:rsidR="00B92525" w:rsidRPr="106A0044">
        <w:t xml:space="preserve"> consistent collection and reporting </w:t>
      </w:r>
      <w:r w:rsidR="00B92525">
        <w:t xml:space="preserve">of </w:t>
      </w:r>
      <w:r w:rsidR="00B92525" w:rsidRPr="106A0044">
        <w:t>data on harassment and victimisation in education.</w:t>
      </w:r>
    </w:p>
    <w:p w14:paraId="038D4CE1" w14:textId="77777777" w:rsidR="005267D3" w:rsidRDefault="00632CB3" w:rsidP="005267D3">
      <w:pPr>
        <w:spacing w:after="240"/>
      </w:pPr>
      <w:r w:rsidRPr="005C3376">
        <w:rPr>
          <w:b/>
          <w:bCs/>
        </w:rPr>
        <w:lastRenderedPageBreak/>
        <w:t xml:space="preserve">Recommendation </w:t>
      </w:r>
      <w:r>
        <w:rPr>
          <w:b/>
          <w:bCs/>
        </w:rPr>
        <w:t>9</w:t>
      </w:r>
      <w:r w:rsidRPr="005C3376">
        <w:rPr>
          <w:b/>
          <w:bCs/>
        </w:rPr>
        <w:t>:</w:t>
      </w:r>
      <w:r w:rsidRPr="005C3376">
        <w:t xml:space="preserve"> </w:t>
      </w:r>
      <w:r w:rsidR="00D06648" w:rsidRPr="00D1036B">
        <w:t>That the Standards ensure the classification of mental health conditions under the term “disability” is sufficiently broad to include temporary, chronic and/or episodic conditions</w:t>
      </w:r>
      <w:r w:rsidR="00D06648">
        <w:t>,</w:t>
      </w:r>
      <w:r w:rsidR="00D06648" w:rsidRPr="00D1036B">
        <w:t xml:space="preserve"> and that</w:t>
      </w:r>
      <w:r w:rsidR="00D06648">
        <w:t xml:space="preserve"> institutional</w:t>
      </w:r>
      <w:r w:rsidR="00D06648" w:rsidRPr="00D1036B">
        <w:t xml:space="preserve"> responses to student support service requirements </w:t>
      </w:r>
      <w:r w:rsidR="00D06648">
        <w:t>or allegations of</w:t>
      </w:r>
      <w:r w:rsidR="00D06648" w:rsidRPr="00D1036B">
        <w:t xml:space="preserve"> harassment and victimisation reflect this complexity.</w:t>
      </w:r>
    </w:p>
    <w:p w14:paraId="508F7EEE" w14:textId="45FFDB4F" w:rsidR="00DC00AC" w:rsidRPr="00AE784C" w:rsidRDefault="0069052E" w:rsidP="005267D3">
      <w:pPr>
        <w:spacing w:after="240"/>
      </w:pPr>
      <w:r w:rsidRPr="007B7B14">
        <w:rPr>
          <w:b/>
          <w:bCs/>
        </w:rPr>
        <w:t xml:space="preserve">Recommendation </w:t>
      </w:r>
      <w:r w:rsidR="0022095B">
        <w:rPr>
          <w:b/>
          <w:bCs/>
        </w:rPr>
        <w:t>10</w:t>
      </w:r>
      <w:r w:rsidRPr="007B7B14">
        <w:rPr>
          <w:b/>
          <w:bCs/>
        </w:rPr>
        <w:t>:</w:t>
      </w:r>
      <w:r w:rsidRPr="007B7B14">
        <w:t xml:space="preserve"> </w:t>
      </w:r>
      <w:r w:rsidR="00B960DB" w:rsidRPr="00B960DB">
        <w:t>That the Standards provide clearer guidance on the transition to employment, ensuring students with disability are provided with consistent and relevant guidance on employability skills and work options.</w:t>
      </w:r>
    </w:p>
    <w:p w14:paraId="3374D243" w14:textId="77777777" w:rsidR="00B960DB" w:rsidRDefault="00B960DB" w:rsidP="005267D3">
      <w:pPr>
        <w:rPr>
          <w:rFonts w:ascii="SansaSoft Pro SemiBold" w:eastAsiaTheme="majorEastAsia" w:hAnsi="SansaSoft Pro SemiBold"/>
          <w:color w:val="B58C0A"/>
          <w:sz w:val="28"/>
          <w:szCs w:val="28"/>
        </w:rPr>
      </w:pPr>
      <w:r>
        <w:br w:type="page"/>
      </w:r>
    </w:p>
    <w:p w14:paraId="0F61BEB3" w14:textId="1712DB18" w:rsidR="00DC00AC" w:rsidRDefault="00DC00AC" w:rsidP="005267D3">
      <w:pPr>
        <w:pStyle w:val="Heading1"/>
      </w:pPr>
      <w:bookmarkStart w:id="19" w:name="_Toc51830733"/>
      <w:r>
        <w:lastRenderedPageBreak/>
        <w:t>References</w:t>
      </w:r>
      <w:bookmarkEnd w:id="19"/>
    </w:p>
    <w:p w14:paraId="03A9A785" w14:textId="2E339ADA" w:rsidR="00B54F7D" w:rsidRDefault="00D04BD0" w:rsidP="00305DBA">
      <w:pPr>
        <w:ind w:left="567" w:hanging="567"/>
      </w:pPr>
      <w:r w:rsidRPr="00455FF9">
        <w:t xml:space="preserve">Australian Bureau of Statistics. (2014). </w:t>
      </w:r>
      <w:r w:rsidR="00EC3973" w:rsidRPr="00455FF9">
        <w:rPr>
          <w:i/>
        </w:rPr>
        <w:t>General Social Survey: Summary Results, Australia</w:t>
      </w:r>
      <w:r w:rsidR="00EC3973" w:rsidRPr="00455FF9">
        <w:t xml:space="preserve">, 2014. Catalogue No. 4159.0. </w:t>
      </w:r>
      <w:r w:rsidR="003B2402" w:rsidRPr="00455FF9">
        <w:t xml:space="preserve">Table 11. Disability. </w:t>
      </w:r>
      <w:hyperlink r:id="rId12" w:tooltip="ABS Government" w:history="1">
        <w:r w:rsidR="009C71DD" w:rsidRPr="00455FF9">
          <w:rPr>
            <w:rStyle w:val="Hyperlink"/>
            <w:rFonts w:cs="Arial"/>
          </w:rPr>
          <w:t>https://www.abs.gov.au/AUSSTATS/abs@.nsf/DetailsPage/4159.02014?OpenDocument</w:t>
        </w:r>
      </w:hyperlink>
      <w:r w:rsidR="009C71DD" w:rsidRPr="00455FF9">
        <w:t xml:space="preserve"> </w:t>
      </w:r>
    </w:p>
    <w:p w14:paraId="5495E07F" w14:textId="77777777" w:rsidR="00851C17" w:rsidRDefault="00B908DE" w:rsidP="00305DBA">
      <w:pPr>
        <w:ind w:left="567" w:hanging="567"/>
        <w:rPr>
          <w:rFonts w:cs="Arial"/>
        </w:rPr>
      </w:pPr>
      <w:r w:rsidRPr="00455FF9">
        <w:rPr>
          <w:rFonts w:cs="Arial"/>
        </w:rPr>
        <w:t>Australian Bureau of Statistics. (201</w:t>
      </w:r>
      <w:r>
        <w:rPr>
          <w:rFonts w:cs="Arial"/>
        </w:rPr>
        <w:t>9</w:t>
      </w:r>
      <w:r w:rsidRPr="00455FF9">
        <w:rPr>
          <w:rFonts w:cs="Arial"/>
        </w:rPr>
        <w:t xml:space="preserve">). </w:t>
      </w:r>
      <w:r w:rsidR="007D3EFB">
        <w:rPr>
          <w:rFonts w:cs="Arial"/>
          <w:i/>
        </w:rPr>
        <w:t>Disability, Ageing and Carers, Australia</w:t>
      </w:r>
      <w:r w:rsidRPr="00455FF9">
        <w:rPr>
          <w:rFonts w:cs="Arial"/>
        </w:rPr>
        <w:t xml:space="preserve">, </w:t>
      </w:r>
      <w:r w:rsidRPr="0074566D">
        <w:rPr>
          <w:rFonts w:cs="Arial"/>
          <w:i/>
        </w:rPr>
        <w:t>201</w:t>
      </w:r>
      <w:r w:rsidR="007D3EFB" w:rsidRPr="0074566D">
        <w:rPr>
          <w:rFonts w:cs="Arial"/>
          <w:i/>
        </w:rPr>
        <w:t>8</w:t>
      </w:r>
      <w:r w:rsidRPr="00455FF9">
        <w:rPr>
          <w:rFonts w:cs="Arial"/>
        </w:rPr>
        <w:t xml:space="preserve">. </w:t>
      </w:r>
      <w:hyperlink r:id="rId13" w:tooltip="ABS Government Statistics" w:history="1">
        <w:r w:rsidR="0074566D" w:rsidRPr="0074566D">
          <w:rPr>
            <w:rStyle w:val="Hyperlink"/>
            <w:rFonts w:cs="Arial"/>
          </w:rPr>
          <w:t>https://www.abs.gov.au/statistics/health/disability/disability-ageing-and-carers-australia-summary-findings/latest-release</w:t>
        </w:r>
      </w:hyperlink>
      <w:r w:rsidR="0074566D">
        <w:t xml:space="preserve"> </w:t>
      </w:r>
    </w:p>
    <w:p w14:paraId="51B7EA8D" w14:textId="26EFB23F" w:rsidR="00851C17" w:rsidRDefault="00414B56" w:rsidP="00305DBA">
      <w:pPr>
        <w:ind w:left="567" w:hanging="567"/>
        <w:rPr>
          <w:rFonts w:cs="Arial"/>
        </w:rPr>
      </w:pPr>
      <w:r w:rsidRPr="00455FF9">
        <w:rPr>
          <w:rFonts w:cs="Arial"/>
        </w:rPr>
        <w:t>Australian Institute of Health and Welfare. (20</w:t>
      </w:r>
      <w:r w:rsidR="009B2BAB" w:rsidRPr="00455FF9">
        <w:rPr>
          <w:rFonts w:cs="Arial"/>
        </w:rPr>
        <w:t>19</w:t>
      </w:r>
      <w:r w:rsidRPr="00455FF9">
        <w:rPr>
          <w:rFonts w:cs="Arial"/>
        </w:rPr>
        <w:t xml:space="preserve">). </w:t>
      </w:r>
      <w:r w:rsidR="00600DE6" w:rsidRPr="00455FF9">
        <w:rPr>
          <w:rFonts w:cs="Arial"/>
          <w:i/>
        </w:rPr>
        <w:t>People with Disability in Australia</w:t>
      </w:r>
      <w:r w:rsidR="00600DE6" w:rsidRPr="00455FF9">
        <w:rPr>
          <w:rFonts w:cs="Arial"/>
        </w:rPr>
        <w:t xml:space="preserve">. </w:t>
      </w:r>
      <w:hyperlink r:id="rId14" w:tooltip="Australian Institute of Health and Welfare" w:history="1">
        <w:r w:rsidR="00600DE6" w:rsidRPr="00455FF9">
          <w:rPr>
            <w:rStyle w:val="Hyperlink"/>
            <w:rFonts w:cs="Arial"/>
          </w:rPr>
          <w:t>https://www.aihw.gov.au/reports/disability/people-with-disability-in-australia/key-data-gaps/existing-data-sources-and-challenges</w:t>
        </w:r>
      </w:hyperlink>
      <w:r w:rsidR="00600DE6" w:rsidRPr="00455FF9">
        <w:rPr>
          <w:rFonts w:cs="Arial"/>
        </w:rPr>
        <w:t xml:space="preserve"> </w:t>
      </w:r>
    </w:p>
    <w:p w14:paraId="0985E65D" w14:textId="70E3275E" w:rsidR="00851C17" w:rsidRDefault="00CB16AD" w:rsidP="00305DBA">
      <w:pPr>
        <w:ind w:left="567" w:hanging="567"/>
      </w:pPr>
      <w:r w:rsidRPr="00455FF9">
        <w:t xml:space="preserve">Brett, M. (2016). Disability and Australian Higher Education. In A. Harvey, C. </w:t>
      </w:r>
      <w:proofErr w:type="spellStart"/>
      <w:r w:rsidRPr="00455FF9">
        <w:t>Burnheim</w:t>
      </w:r>
      <w:proofErr w:type="spellEnd"/>
      <w:r w:rsidRPr="00455FF9">
        <w:t xml:space="preserve">, &amp; M. Brett (Eds.), </w:t>
      </w:r>
      <w:r w:rsidRPr="00455FF9">
        <w:rPr>
          <w:i/>
        </w:rPr>
        <w:t>Student Equity in Australian Higher Education: Twenty-five years of A Fair Chance for All</w:t>
      </w:r>
      <w:r>
        <w:t>,</w:t>
      </w:r>
      <w:r w:rsidRPr="00455FF9">
        <w:t xml:space="preserve"> </w:t>
      </w:r>
      <w:r>
        <w:t>(</w:t>
      </w:r>
      <w:r w:rsidRPr="00455FF9">
        <w:t>pp. 87–108</w:t>
      </w:r>
      <w:r>
        <w:t xml:space="preserve">). </w:t>
      </w:r>
      <w:r w:rsidRPr="00455FF9">
        <w:t>Springer.</w:t>
      </w:r>
      <w:r w:rsidR="00851C17" w:rsidRPr="00851C17">
        <w:t xml:space="preserve"> </w:t>
      </w:r>
    </w:p>
    <w:p w14:paraId="713BA6B0" w14:textId="18769292" w:rsidR="00851C17" w:rsidRDefault="009B12E6" w:rsidP="00305DBA">
      <w:pPr>
        <w:ind w:left="567" w:hanging="567"/>
      </w:pPr>
      <w:r w:rsidRPr="00455FF9">
        <w:t xml:space="preserve">Brett, M., Harvey, A., Funston, A., Spicer, R. &amp; Wood, A. (2016). </w:t>
      </w:r>
      <w:r w:rsidRPr="00455FF9">
        <w:rPr>
          <w:i/>
        </w:rPr>
        <w:t>The Role of Inherent Requirement Statements in Australian Universities</w:t>
      </w:r>
      <w:r w:rsidRPr="00455FF9">
        <w:t>. Report submitted to the National Centre for Student Equity in Higher Education (NCSEHE), Curtin University</w:t>
      </w:r>
      <w:r w:rsidR="00CB16AD">
        <w:t>.</w:t>
      </w:r>
      <w:r w:rsidR="00851C17" w:rsidRPr="00851C17">
        <w:t xml:space="preserve"> </w:t>
      </w:r>
    </w:p>
    <w:p w14:paraId="64F54A80" w14:textId="07CD7CDC" w:rsidR="000F300D" w:rsidRPr="00455FF9" w:rsidRDefault="000F300D" w:rsidP="00305DBA">
      <w:pPr>
        <w:ind w:left="567" w:hanging="567"/>
      </w:pPr>
      <w:r w:rsidRPr="00455FF9">
        <w:t xml:space="preserve">Browne, V., Munro, J., &amp; Cass, J. (2017). The Mental Health of Australian University Students. </w:t>
      </w:r>
      <w:r w:rsidRPr="00C549D4">
        <w:rPr>
          <w:i/>
        </w:rPr>
        <w:t>Journal of the Australian &amp; New Zealand Student Services Association</w:t>
      </w:r>
      <w:r w:rsidRPr="00455FF9">
        <w:t xml:space="preserve">, </w:t>
      </w:r>
      <w:r w:rsidRPr="00C549D4">
        <w:rPr>
          <w:i/>
        </w:rPr>
        <w:t>25</w:t>
      </w:r>
      <w:r w:rsidRPr="00455FF9">
        <w:t>(2).</w:t>
      </w:r>
    </w:p>
    <w:p w14:paraId="6F4E72F7" w14:textId="20D6E97C" w:rsidR="00515EDE" w:rsidRPr="00455FF9" w:rsidRDefault="00234383" w:rsidP="00305DBA">
      <w:pPr>
        <w:ind w:left="567" w:hanging="567"/>
        <w:rPr>
          <w:rFonts w:cs="Arial"/>
        </w:rPr>
      </w:pPr>
      <w:r w:rsidRPr="00455FF9">
        <w:rPr>
          <w:rFonts w:cs="Arial"/>
        </w:rPr>
        <w:t xml:space="preserve">Commonwealth of Australia (2020). Disability Code. TCSI: Tertiary Collection of Student Information website. </w:t>
      </w:r>
      <w:hyperlink r:id="rId15" w:tooltip="Commonwealth of Australia (2020). Disability Code. TCSI: Tertiary Collection of Student " w:history="1">
        <w:r w:rsidRPr="00455FF9">
          <w:rPr>
            <w:rStyle w:val="Hyperlink"/>
            <w:rFonts w:cs="Arial"/>
          </w:rPr>
          <w:t>https://www.tcsisupport.gov.au/element/615</w:t>
        </w:r>
      </w:hyperlink>
      <w:r w:rsidRPr="00455FF9">
        <w:rPr>
          <w:rFonts w:cs="Arial"/>
        </w:rPr>
        <w:t xml:space="preserve"> </w:t>
      </w:r>
    </w:p>
    <w:p w14:paraId="006572E2" w14:textId="52715044" w:rsidR="005F236B" w:rsidRPr="00455FF9" w:rsidRDefault="005F236B" w:rsidP="00305DBA">
      <w:pPr>
        <w:ind w:left="567" w:hanging="567"/>
      </w:pPr>
      <w:r w:rsidRPr="00455FF9">
        <w:t xml:space="preserve">Cunninghame, I., Costello, D. &amp; Trinidad, S. (2016). </w:t>
      </w:r>
      <w:r w:rsidRPr="00455FF9">
        <w:rPr>
          <w:i/>
        </w:rPr>
        <w:t>Issues and Trends for Students with Disability: Review of NCSEHE-Funded Research.</w:t>
      </w:r>
      <w:r w:rsidRPr="00455FF9">
        <w:t xml:space="preserve"> National Centre for Student Equity in Higher Education, Curtin University.</w:t>
      </w:r>
    </w:p>
    <w:p w14:paraId="4EA93216" w14:textId="77777777" w:rsidR="0094472F" w:rsidRDefault="00696884" w:rsidP="00305DBA">
      <w:pPr>
        <w:ind w:left="567" w:hanging="567"/>
      </w:pPr>
      <w:r w:rsidRPr="00455FF9">
        <w:t xml:space="preserve">Department of Education and Training. (2015). </w:t>
      </w:r>
      <w:r w:rsidRPr="00455FF9">
        <w:rPr>
          <w:i/>
        </w:rPr>
        <w:t xml:space="preserve">Australian Government Initial Response to the 2015 Review of the Disability Standards 2005. </w:t>
      </w:r>
      <w:hyperlink r:id="rId16" w:tooltip="Department of Education and Training. (2015). Australian Government Initial Response to the 2015 Review of the Disability Standards 2005. " w:history="1">
        <w:r w:rsidRPr="00455FF9">
          <w:rPr>
            <w:rStyle w:val="Hyperlink"/>
            <w:rFonts w:cs="Arial"/>
          </w:rPr>
          <w:t>https://docs.education.gov.au/documents/australian-government-initial-response-2015-review-disability-standards-education-2005</w:t>
        </w:r>
      </w:hyperlink>
      <w:r w:rsidRPr="00455FF9">
        <w:t xml:space="preserve"> </w:t>
      </w:r>
    </w:p>
    <w:p w14:paraId="0ECD5791" w14:textId="685CE424" w:rsidR="006B4022" w:rsidRPr="00455FF9" w:rsidRDefault="00801584" w:rsidP="00305DBA">
      <w:pPr>
        <w:ind w:left="567" w:hanging="567"/>
      </w:pPr>
      <w:r w:rsidRPr="00455FF9">
        <w:t xml:space="preserve">Department of Education, Skills and Employment. (2019). </w:t>
      </w:r>
      <w:r w:rsidRPr="00455FF9">
        <w:rPr>
          <w:i/>
        </w:rPr>
        <w:t>National Regional, Rural and Remote Tertiary Education Strategy</w:t>
      </w:r>
      <w:r w:rsidRPr="00455FF9">
        <w:t xml:space="preserve">. </w:t>
      </w:r>
      <w:hyperlink r:id="rId17" w:tooltip="Department of Education, Skills and Employment. (2019). National Regional, Rural and Remote Tertiary Education Strategy. " w:history="1">
        <w:r w:rsidR="005B53B3" w:rsidRPr="00A72D84">
          <w:rPr>
            <w:rStyle w:val="Hyperlink"/>
            <w:rFonts w:cs="Arial"/>
          </w:rPr>
          <w:t>https://docs.education.gov.au/system/files/doc/other/national_regional_rural_and_remote_tertiary_education_strategy.pdf</w:t>
        </w:r>
      </w:hyperlink>
      <w:r w:rsidR="005B53B3">
        <w:t xml:space="preserve"> </w:t>
      </w:r>
    </w:p>
    <w:p w14:paraId="42FACC40" w14:textId="5D3FADA8" w:rsidR="00B932C3" w:rsidRPr="00455FF9" w:rsidRDefault="00B932C3" w:rsidP="00305DBA">
      <w:pPr>
        <w:ind w:left="567" w:hanging="567"/>
      </w:pPr>
      <w:r w:rsidRPr="00455FF9">
        <w:lastRenderedPageBreak/>
        <w:t xml:space="preserve">Department of Education, Skills and Employment. (2020a). </w:t>
      </w:r>
      <w:r w:rsidRPr="00455FF9">
        <w:rPr>
          <w:i/>
        </w:rPr>
        <w:t>2020 Review of the Disability Standards for Education 2005.</w:t>
      </w:r>
      <w:r w:rsidRPr="00455FF9">
        <w:t xml:space="preserve"> Discussion Paper.</w:t>
      </w:r>
      <w:r w:rsidRPr="00455FF9">
        <w:rPr>
          <w:i/>
        </w:rPr>
        <w:t xml:space="preserve"> </w:t>
      </w:r>
      <w:hyperlink r:id="rId18" w:tooltip="Department of Education, Skills and Employment. (2020a). 2020 Review of the Disability Standards for Education 2005. Discussion Paper. " w:history="1">
        <w:r w:rsidRPr="00455FF9">
          <w:rPr>
            <w:rStyle w:val="Hyperlink"/>
            <w:rFonts w:cs="Arial"/>
          </w:rPr>
          <w:t>https://disabilitystandardsreview.education.gov.au/assets/documents/DSE2020review_Discussionpaper.pdf</w:t>
        </w:r>
      </w:hyperlink>
      <w:r w:rsidRPr="00455FF9">
        <w:t xml:space="preserve"> </w:t>
      </w:r>
    </w:p>
    <w:p w14:paraId="59EC5C4A" w14:textId="4581DAA1" w:rsidR="00224BC2" w:rsidRDefault="00224BC2" w:rsidP="00305DBA">
      <w:pPr>
        <w:ind w:left="567" w:hanging="567"/>
      </w:pPr>
      <w:r w:rsidRPr="00455FF9">
        <w:t>Department of Education, Skills and Employment. (2020</w:t>
      </w:r>
      <w:r w:rsidR="00B932C3" w:rsidRPr="00455FF9">
        <w:t>b</w:t>
      </w:r>
      <w:r w:rsidRPr="00455FF9">
        <w:t xml:space="preserve">). </w:t>
      </w:r>
      <w:r w:rsidR="00B932C3" w:rsidRPr="00455FF9">
        <w:rPr>
          <w:i/>
        </w:rPr>
        <w:t xml:space="preserve">Selected Higher Education Statistics 2018: </w:t>
      </w:r>
      <w:r w:rsidRPr="00455FF9">
        <w:rPr>
          <w:i/>
        </w:rPr>
        <w:t xml:space="preserve">Section 16 Equity </w:t>
      </w:r>
      <w:r w:rsidR="00B932C3" w:rsidRPr="00455FF9">
        <w:rPr>
          <w:i/>
        </w:rPr>
        <w:t>P</w:t>
      </w:r>
      <w:r w:rsidRPr="00455FF9">
        <w:rPr>
          <w:i/>
        </w:rPr>
        <w:t xml:space="preserve">erformance </w:t>
      </w:r>
      <w:r w:rsidR="00B932C3" w:rsidRPr="00455FF9">
        <w:rPr>
          <w:i/>
        </w:rPr>
        <w:t>D</w:t>
      </w:r>
      <w:r w:rsidRPr="00455FF9">
        <w:rPr>
          <w:i/>
        </w:rPr>
        <w:t>ata</w:t>
      </w:r>
      <w:r w:rsidRPr="00455FF9">
        <w:t xml:space="preserve">. </w:t>
      </w:r>
      <w:hyperlink r:id="rId19" w:tooltip="Department of Education, Skills and Employment. (2020b). Selected Higher Education Statistics 2018: Section 16 Equity Performance Data. " w:history="1">
        <w:r w:rsidRPr="00455FF9">
          <w:rPr>
            <w:rStyle w:val="Hyperlink"/>
            <w:rFonts w:cs="Arial"/>
          </w:rPr>
          <w:t>https://docs.education.gov.au/node/53030</w:t>
        </w:r>
      </w:hyperlink>
      <w:r w:rsidRPr="00455FF9">
        <w:t xml:space="preserve"> </w:t>
      </w:r>
    </w:p>
    <w:p w14:paraId="1FE6E37B" w14:textId="4FE19B79" w:rsidR="00813DAE" w:rsidRDefault="00813DAE" w:rsidP="00305DBA">
      <w:pPr>
        <w:ind w:left="567" w:hanging="567"/>
        <w:rPr>
          <w:rFonts w:cs="Arial"/>
        </w:rPr>
      </w:pPr>
      <w:r w:rsidRPr="00530892">
        <w:rPr>
          <w:rFonts w:cs="Arial"/>
        </w:rPr>
        <w:t>Department of Education, Skills and Employment. (2020</w:t>
      </w:r>
      <w:r w:rsidR="006F59B5">
        <w:rPr>
          <w:rFonts w:cs="Arial"/>
        </w:rPr>
        <w:t>c</w:t>
      </w:r>
      <w:r w:rsidRPr="00530892">
        <w:rPr>
          <w:rFonts w:cs="Arial"/>
        </w:rPr>
        <w:t xml:space="preserve">). </w:t>
      </w:r>
      <w:r w:rsidRPr="00530892">
        <w:rPr>
          <w:rFonts w:cs="Arial"/>
          <w:i/>
        </w:rPr>
        <w:t>Job-ready Graduates: Higher Education Reform Package 2020</w:t>
      </w:r>
      <w:r w:rsidR="00D06562">
        <w:rPr>
          <w:rFonts w:cs="Arial"/>
          <w:i/>
        </w:rPr>
        <w:t>.</w:t>
      </w:r>
      <w:r w:rsidRPr="00530892">
        <w:rPr>
          <w:rFonts w:cs="Arial"/>
        </w:rPr>
        <w:t xml:space="preserve"> </w:t>
      </w:r>
      <w:hyperlink r:id="rId20" w:tooltip="Department of Education, Skills and Employment. (2020c). Job-ready Graduates: Higher Education Reform Package 2020. " w:history="1">
        <w:r w:rsidR="00D06562" w:rsidRPr="00CE3ED2">
          <w:rPr>
            <w:rStyle w:val="Hyperlink"/>
            <w:rFonts w:cs="Arial"/>
          </w:rPr>
          <w:t>https://www.dese.gov.au/document/job-ready-graduates-discussion-paper</w:t>
        </w:r>
      </w:hyperlink>
      <w:r w:rsidR="00D06562">
        <w:rPr>
          <w:rFonts w:cs="Arial"/>
        </w:rPr>
        <w:t xml:space="preserve"> </w:t>
      </w:r>
    </w:p>
    <w:p w14:paraId="0ABF2A42" w14:textId="40E2070D" w:rsidR="00B932C3" w:rsidRPr="00455FF9" w:rsidRDefault="00172AAE" w:rsidP="00305DBA">
      <w:pPr>
        <w:ind w:left="567" w:hanging="567"/>
        <w:rPr>
          <w:rFonts w:cs="Arial"/>
        </w:rPr>
      </w:pPr>
      <w:r w:rsidRPr="00455FF9">
        <w:rPr>
          <w:rFonts w:cs="Arial"/>
        </w:rPr>
        <w:t>Department of Education, Skills and Employment. (2020</w:t>
      </w:r>
      <w:r w:rsidR="006F59B5">
        <w:rPr>
          <w:rFonts w:cs="Arial"/>
        </w:rPr>
        <w:t>d</w:t>
      </w:r>
      <w:r w:rsidRPr="00455FF9">
        <w:rPr>
          <w:rFonts w:cs="Arial"/>
        </w:rPr>
        <w:t xml:space="preserve">). </w:t>
      </w:r>
      <w:r w:rsidRPr="00455FF9">
        <w:rPr>
          <w:rFonts w:cs="Arial"/>
          <w:i/>
        </w:rPr>
        <w:t>Higher Education</w:t>
      </w:r>
      <w:r>
        <w:rPr>
          <w:rFonts w:cs="Arial"/>
          <w:i/>
        </w:rPr>
        <w:t xml:space="preserve"> Disability Support Program</w:t>
      </w:r>
      <w:r w:rsidRPr="00455FF9">
        <w:rPr>
          <w:rFonts w:cs="Arial"/>
        </w:rPr>
        <w:t xml:space="preserve">. </w:t>
      </w:r>
      <w:hyperlink r:id="rId21" w:tooltip="Department of Education, Skills and Employment. (2020d). Higher Education Disability Support Program. " w:history="1">
        <w:r w:rsidR="00345DA9" w:rsidRPr="006E5CD1">
          <w:rPr>
            <w:rStyle w:val="Hyperlink"/>
            <w:rFonts w:cs="Arial"/>
          </w:rPr>
          <w:t>https://www.education.gov.au/higher-education-disability-support-programme</w:t>
        </w:r>
      </w:hyperlink>
      <w:r w:rsidR="00345DA9">
        <w:rPr>
          <w:rFonts w:cs="Arial"/>
        </w:rPr>
        <w:t xml:space="preserve"> </w:t>
      </w:r>
    </w:p>
    <w:p w14:paraId="490478DE" w14:textId="47D5107B" w:rsidR="00D11125" w:rsidRDefault="00D11125" w:rsidP="00305DBA">
      <w:pPr>
        <w:ind w:left="567" w:hanging="567"/>
      </w:pPr>
      <w:r w:rsidRPr="00455FF9">
        <w:t xml:space="preserve">Department of Employment, Education and Training. (1990). </w:t>
      </w:r>
      <w:r w:rsidRPr="00455FF9">
        <w:rPr>
          <w:i/>
        </w:rPr>
        <w:t>A Fair Chance for All: National and Institutional Planning for Equity in Higher Education</w:t>
      </w:r>
      <w:r w:rsidRPr="00455FF9">
        <w:t>. Discussion Paper. Australian Government Publishing Service</w:t>
      </w:r>
      <w:r>
        <w:t>.</w:t>
      </w:r>
      <w:r w:rsidRPr="00455FF9">
        <w:t xml:space="preserve"> </w:t>
      </w:r>
    </w:p>
    <w:p w14:paraId="14FE5378" w14:textId="3274AABC" w:rsidR="000E772C" w:rsidRDefault="000E772C" w:rsidP="00305DBA">
      <w:pPr>
        <w:ind w:left="567" w:hanging="567"/>
        <w:rPr>
          <w:rFonts w:cs="Arial"/>
        </w:rPr>
      </w:pPr>
      <w:r w:rsidRPr="00455FF9">
        <w:rPr>
          <w:rFonts w:cs="Arial"/>
        </w:rPr>
        <w:t xml:space="preserve">Department of </w:t>
      </w:r>
      <w:r>
        <w:rPr>
          <w:rFonts w:cs="Arial"/>
        </w:rPr>
        <w:t>Social Services</w:t>
      </w:r>
      <w:r w:rsidRPr="00455FF9">
        <w:rPr>
          <w:rFonts w:cs="Arial"/>
        </w:rPr>
        <w:t>. (</w:t>
      </w:r>
      <w:r>
        <w:rPr>
          <w:rFonts w:cs="Arial"/>
        </w:rPr>
        <w:t>2020</w:t>
      </w:r>
      <w:r w:rsidRPr="00455FF9">
        <w:rPr>
          <w:rFonts w:cs="Arial"/>
        </w:rPr>
        <w:t xml:space="preserve">). </w:t>
      </w:r>
      <w:r>
        <w:rPr>
          <w:rFonts w:cs="Arial"/>
          <w:i/>
          <w:iCs/>
        </w:rPr>
        <w:t>National Disability Strategy: Position Paper</w:t>
      </w:r>
      <w:r w:rsidRPr="00455FF9">
        <w:rPr>
          <w:rFonts w:cs="Arial"/>
        </w:rPr>
        <w:t>.</w:t>
      </w:r>
      <w:r>
        <w:rPr>
          <w:rFonts w:cs="Arial"/>
        </w:rPr>
        <w:t xml:space="preserve"> </w:t>
      </w:r>
      <w:hyperlink r:id="rId22" w:tooltip="Department of Social Services. (2020). National Disability Strategy: Position Paper. " w:history="1">
        <w:r w:rsidRPr="000E772C">
          <w:rPr>
            <w:rStyle w:val="Hyperlink"/>
            <w:rFonts w:cs="Arial"/>
          </w:rPr>
          <w:t>https://engage.dss.gov.au/nds-stage2-consultation/national-disability-strategy-position-paper/</w:t>
        </w:r>
      </w:hyperlink>
    </w:p>
    <w:p w14:paraId="3FB2AC99" w14:textId="629BFB23" w:rsidR="00B9329B" w:rsidRPr="00455FF9" w:rsidRDefault="00C8283E" w:rsidP="00305DBA">
      <w:pPr>
        <w:ind w:left="567" w:hanging="567"/>
      </w:pPr>
      <w:r w:rsidRPr="0084703F">
        <w:t xml:space="preserve">Education Services Australia. (2020). </w:t>
      </w:r>
      <w:r w:rsidRPr="0084703F">
        <w:rPr>
          <w:i/>
        </w:rPr>
        <w:t xml:space="preserve">Looking to the </w:t>
      </w:r>
      <w:r w:rsidR="008856F4" w:rsidRPr="0084703F">
        <w:rPr>
          <w:i/>
        </w:rPr>
        <w:t>F</w:t>
      </w:r>
      <w:r w:rsidRPr="0084703F">
        <w:rPr>
          <w:i/>
        </w:rPr>
        <w:t>uture</w:t>
      </w:r>
      <w:r w:rsidR="008856F4" w:rsidRPr="0084703F">
        <w:rPr>
          <w:i/>
        </w:rPr>
        <w:t>:</w:t>
      </w:r>
      <w:r w:rsidRPr="0084703F">
        <w:rPr>
          <w:i/>
        </w:rPr>
        <w:t xml:space="preserve"> Report of the </w:t>
      </w:r>
      <w:r w:rsidR="008856F4" w:rsidRPr="0084703F">
        <w:rPr>
          <w:i/>
        </w:rPr>
        <w:t>R</w:t>
      </w:r>
      <w:r w:rsidRPr="0084703F">
        <w:rPr>
          <w:i/>
        </w:rPr>
        <w:t xml:space="preserve">eview of </w:t>
      </w:r>
      <w:r w:rsidR="008856F4" w:rsidRPr="0084703F">
        <w:rPr>
          <w:i/>
        </w:rPr>
        <w:t>S</w:t>
      </w:r>
      <w:r w:rsidRPr="0084703F">
        <w:rPr>
          <w:i/>
        </w:rPr>
        <w:t xml:space="preserve">enior </w:t>
      </w:r>
      <w:r w:rsidR="008856F4" w:rsidRPr="0084703F">
        <w:rPr>
          <w:i/>
        </w:rPr>
        <w:t>S</w:t>
      </w:r>
      <w:r w:rsidRPr="0084703F">
        <w:rPr>
          <w:i/>
        </w:rPr>
        <w:t xml:space="preserve">econdary </w:t>
      </w:r>
      <w:r w:rsidR="00BE3EB1" w:rsidRPr="0084703F">
        <w:rPr>
          <w:i/>
        </w:rPr>
        <w:t>P</w:t>
      </w:r>
      <w:r w:rsidRPr="0084703F">
        <w:rPr>
          <w:i/>
        </w:rPr>
        <w:t xml:space="preserve">athways into </w:t>
      </w:r>
      <w:r w:rsidR="00BE3EB1" w:rsidRPr="0084703F">
        <w:rPr>
          <w:i/>
        </w:rPr>
        <w:t>W</w:t>
      </w:r>
      <w:r w:rsidRPr="0084703F">
        <w:rPr>
          <w:i/>
        </w:rPr>
        <w:t xml:space="preserve">ork, </w:t>
      </w:r>
      <w:r w:rsidR="00BE3EB1" w:rsidRPr="0084703F">
        <w:rPr>
          <w:i/>
        </w:rPr>
        <w:t>F</w:t>
      </w:r>
      <w:r w:rsidRPr="0084703F">
        <w:rPr>
          <w:i/>
        </w:rPr>
        <w:t xml:space="preserve">urther </w:t>
      </w:r>
      <w:r w:rsidR="00BE3EB1" w:rsidRPr="0084703F">
        <w:rPr>
          <w:i/>
        </w:rPr>
        <w:t>E</w:t>
      </w:r>
      <w:r w:rsidRPr="0084703F">
        <w:rPr>
          <w:i/>
        </w:rPr>
        <w:t xml:space="preserve">ducation and </w:t>
      </w:r>
      <w:r w:rsidR="00BE3EB1" w:rsidRPr="0084703F">
        <w:rPr>
          <w:i/>
        </w:rPr>
        <w:t>T</w:t>
      </w:r>
      <w:r w:rsidRPr="0084703F">
        <w:rPr>
          <w:i/>
        </w:rPr>
        <w:t>raining</w:t>
      </w:r>
      <w:r w:rsidRPr="0084703F">
        <w:t xml:space="preserve">. </w:t>
      </w:r>
      <w:r w:rsidR="0054364A" w:rsidRPr="0084703F">
        <w:t>Education Services Australia (Education Council</w:t>
      </w:r>
      <w:r w:rsidR="00847A53" w:rsidRPr="0084703F">
        <w:t>)</w:t>
      </w:r>
      <w:r w:rsidR="00E22203">
        <w:t>.</w:t>
      </w:r>
      <w:r w:rsidR="0094338D" w:rsidRPr="0084703F">
        <w:t xml:space="preserve"> </w:t>
      </w:r>
      <w:hyperlink r:id="rId23" w:tooltip="Education Services Australia. (2020). Looking to the Future: Report of the Review of Senior Secondary Pathways into Work, Further Education and Training. Education Services Australia (Education Council). " w:history="1">
        <w:r w:rsidR="001236F5" w:rsidRPr="0084703F">
          <w:rPr>
            <w:rStyle w:val="Hyperlink"/>
            <w:rFonts w:cs="Arial"/>
          </w:rPr>
          <w:t>https://uploadstorage.blob.core.windows.net/public-assets/education-au/pathways/Final%20report%20-%2018%20June.pdf</w:t>
        </w:r>
      </w:hyperlink>
      <w:r w:rsidR="001236F5" w:rsidRPr="00455FF9">
        <w:t xml:space="preserve"> </w:t>
      </w:r>
    </w:p>
    <w:p w14:paraId="04B15477" w14:textId="7FA08D78" w:rsidR="004D6A34" w:rsidRPr="00455FF9" w:rsidRDefault="00B9329B" w:rsidP="00305DBA">
      <w:pPr>
        <w:ind w:left="567" w:hanging="567"/>
      </w:pPr>
      <w:r w:rsidRPr="00455FF9">
        <w:t>Fleming, M.</w:t>
      </w:r>
      <w:r w:rsidR="00973E15" w:rsidRPr="00455FF9">
        <w:t>,</w:t>
      </w:r>
      <w:r w:rsidRPr="00455FF9">
        <w:t xml:space="preserve"> &amp; Grace, D. (2016). </w:t>
      </w:r>
      <w:r w:rsidRPr="00455FF9">
        <w:rPr>
          <w:i/>
        </w:rPr>
        <w:t>Best Practice in Supporting Indigenous Students with Disability in Higher Education</w:t>
      </w:r>
      <w:r w:rsidRPr="00455FF9">
        <w:t>. Report submitted to the National Centre for Student Equity in Higher Education (NCSEHE), Curtin University</w:t>
      </w:r>
      <w:r w:rsidR="005B53B3">
        <w:t>.</w:t>
      </w:r>
    </w:p>
    <w:p w14:paraId="605EC0AC" w14:textId="33C22D74" w:rsidR="009C0592" w:rsidRPr="00455FF9" w:rsidRDefault="004D6A34" w:rsidP="00305DBA">
      <w:pPr>
        <w:ind w:left="567" w:hanging="567"/>
      </w:pPr>
      <w:proofErr w:type="spellStart"/>
      <w:r w:rsidRPr="00455FF9">
        <w:t>Gemici</w:t>
      </w:r>
      <w:proofErr w:type="spellEnd"/>
      <w:r w:rsidRPr="00455FF9">
        <w:t xml:space="preserve">, S., </w:t>
      </w:r>
      <w:proofErr w:type="spellStart"/>
      <w:r w:rsidRPr="00455FF9">
        <w:t>Bednarz</w:t>
      </w:r>
      <w:proofErr w:type="spellEnd"/>
      <w:r w:rsidRPr="00455FF9">
        <w:t xml:space="preserve">, A., </w:t>
      </w:r>
      <w:proofErr w:type="spellStart"/>
      <w:r w:rsidRPr="00455FF9">
        <w:t>Karmel</w:t>
      </w:r>
      <w:proofErr w:type="spellEnd"/>
      <w:r w:rsidRPr="00455FF9">
        <w:t>, T.</w:t>
      </w:r>
      <w:r w:rsidR="00194942" w:rsidRPr="00455FF9">
        <w:t>,</w:t>
      </w:r>
      <w:r w:rsidRPr="00455FF9">
        <w:t xml:space="preserve"> &amp; Lim, P. (2014). </w:t>
      </w:r>
      <w:r w:rsidRPr="00455FF9">
        <w:rPr>
          <w:i/>
        </w:rPr>
        <w:t xml:space="preserve">The </w:t>
      </w:r>
      <w:r w:rsidR="00194942" w:rsidRPr="00455FF9">
        <w:rPr>
          <w:i/>
        </w:rPr>
        <w:t>F</w:t>
      </w:r>
      <w:r w:rsidRPr="00455FF9">
        <w:rPr>
          <w:i/>
        </w:rPr>
        <w:t xml:space="preserve">actors </w:t>
      </w:r>
      <w:r w:rsidR="00194942" w:rsidRPr="00455FF9">
        <w:rPr>
          <w:i/>
        </w:rPr>
        <w:t>A</w:t>
      </w:r>
      <w:r w:rsidRPr="00455FF9">
        <w:rPr>
          <w:i/>
        </w:rPr>
        <w:t xml:space="preserve">ffecting the </w:t>
      </w:r>
      <w:r w:rsidR="00194942" w:rsidRPr="00455FF9">
        <w:rPr>
          <w:i/>
        </w:rPr>
        <w:t>E</w:t>
      </w:r>
      <w:r w:rsidRPr="00455FF9">
        <w:rPr>
          <w:i/>
        </w:rPr>
        <w:t xml:space="preserve">ducational and </w:t>
      </w:r>
      <w:r w:rsidR="00194942" w:rsidRPr="00455FF9">
        <w:rPr>
          <w:i/>
        </w:rPr>
        <w:t>O</w:t>
      </w:r>
      <w:r w:rsidRPr="00455FF9">
        <w:rPr>
          <w:i/>
        </w:rPr>
        <w:t xml:space="preserve">ccupational </w:t>
      </w:r>
      <w:r w:rsidR="00194942" w:rsidRPr="00455FF9">
        <w:rPr>
          <w:i/>
        </w:rPr>
        <w:t>A</w:t>
      </w:r>
      <w:r w:rsidRPr="00455FF9">
        <w:rPr>
          <w:i/>
        </w:rPr>
        <w:t xml:space="preserve">spirations of </w:t>
      </w:r>
      <w:r w:rsidR="00194942" w:rsidRPr="00455FF9">
        <w:rPr>
          <w:i/>
        </w:rPr>
        <w:t>Y</w:t>
      </w:r>
      <w:r w:rsidRPr="00455FF9">
        <w:rPr>
          <w:i/>
        </w:rPr>
        <w:t>oung Australians</w:t>
      </w:r>
      <w:r w:rsidRPr="00455FF9">
        <w:t>. Longitudinal Surveys of Australian Youth (LSAY) Research Report No. 66. National Centre for Vocational Education Research</w:t>
      </w:r>
      <w:r w:rsidR="005B53B3">
        <w:t>.</w:t>
      </w:r>
    </w:p>
    <w:p w14:paraId="714FC03F" w14:textId="123DD71F" w:rsidR="002F1315" w:rsidRPr="00455FF9" w:rsidRDefault="002F1315" w:rsidP="00305DBA">
      <w:pPr>
        <w:ind w:left="567" w:hanging="567"/>
      </w:pPr>
      <w:r w:rsidRPr="00455FF9">
        <w:t xml:space="preserve">Higher Education Information Management System. (2020). </w:t>
      </w:r>
      <w:r w:rsidRPr="00455FF9">
        <w:rPr>
          <w:i/>
        </w:rPr>
        <w:t>2020 Higher Education Data Collection</w:t>
      </w:r>
      <w:r w:rsidRPr="00455FF9">
        <w:t>. Element Dictionary.</w:t>
      </w:r>
      <w:r w:rsidR="00092A80" w:rsidRPr="00455FF9">
        <w:t xml:space="preserve"> Element No. 386 (Disability). </w:t>
      </w:r>
      <w:hyperlink r:id="rId24" w:tooltip="Higher Education Information Management System. (2020). 2020 Higher Education Data Collection." w:history="1">
        <w:r w:rsidRPr="00455FF9">
          <w:rPr>
            <w:rStyle w:val="Hyperlink"/>
            <w:rFonts w:cs="Arial"/>
          </w:rPr>
          <w:t>https://heimshelp.education.gov.au/sites/default/files/2020-he-data-element-dictionary.pdf?v=1593405978</w:t>
        </w:r>
      </w:hyperlink>
      <w:r w:rsidRPr="00455FF9">
        <w:t xml:space="preserve"> </w:t>
      </w:r>
    </w:p>
    <w:p w14:paraId="0780D12F" w14:textId="7FDB3E2D" w:rsidR="00B9329B" w:rsidRPr="00455FF9" w:rsidRDefault="001D7507" w:rsidP="00305DBA">
      <w:pPr>
        <w:ind w:left="567" w:hanging="567"/>
      </w:pPr>
      <w:r w:rsidRPr="00455FF9">
        <w:t xml:space="preserve">Kent, M. (2016). </w:t>
      </w:r>
      <w:r w:rsidRPr="00455FF9">
        <w:rPr>
          <w:i/>
        </w:rPr>
        <w:t>Access and Barriers to Online Education for People with Disabilities.</w:t>
      </w:r>
      <w:r w:rsidRPr="00455FF9">
        <w:t xml:space="preserve"> Report submitted to the National Centre for Student Equity in Higher Education (NCSEHE), Curtin University.</w:t>
      </w:r>
    </w:p>
    <w:p w14:paraId="7343260B" w14:textId="752E5182" w:rsidR="002F1315" w:rsidRPr="00455FF9" w:rsidRDefault="000070C6" w:rsidP="00305DBA">
      <w:pPr>
        <w:ind w:left="567" w:hanging="567"/>
      </w:pPr>
      <w:r w:rsidRPr="00455FF9">
        <w:lastRenderedPageBreak/>
        <w:t>Kessler, R. C., Aguilar-</w:t>
      </w:r>
      <w:proofErr w:type="spellStart"/>
      <w:r w:rsidRPr="00455FF9">
        <w:t>Gaxiola</w:t>
      </w:r>
      <w:proofErr w:type="spellEnd"/>
      <w:r w:rsidRPr="00455FF9">
        <w:t xml:space="preserve">, S., Alonso, J., </w:t>
      </w:r>
      <w:proofErr w:type="spellStart"/>
      <w:r w:rsidRPr="00455FF9">
        <w:t>Angermeyer</w:t>
      </w:r>
      <w:proofErr w:type="spellEnd"/>
      <w:r w:rsidRPr="00455FF9">
        <w:t>, M. C., Anthony, J. C., Berglund, P. A.,</w:t>
      </w:r>
      <w:r w:rsidR="008F2498" w:rsidRPr="00455FF9">
        <w:t xml:space="preserve"> et al.</w:t>
      </w:r>
      <w:r w:rsidR="00457509" w:rsidRPr="00455FF9">
        <w:t>,</w:t>
      </w:r>
      <w:r w:rsidRPr="00455FF9">
        <w:t xml:space="preserve"> &amp; Gasquet, I. (2008). Lifetime prevalence and age of onset distributions of mental disorders in the World Mental Health Survey Initiative. In</w:t>
      </w:r>
      <w:r w:rsidR="004604DD" w:rsidRPr="00455FF9">
        <w:t xml:space="preserve"> R.C. Kessler</w:t>
      </w:r>
      <w:r w:rsidR="00395B16" w:rsidRPr="00455FF9">
        <w:t>,</w:t>
      </w:r>
      <w:r w:rsidR="00796815" w:rsidRPr="00455FF9">
        <w:t xml:space="preserve"> &amp;</w:t>
      </w:r>
      <w:r w:rsidR="00395B16" w:rsidRPr="00455FF9">
        <w:t xml:space="preserve"> B. </w:t>
      </w:r>
      <w:proofErr w:type="spellStart"/>
      <w:r w:rsidR="00395B16" w:rsidRPr="00455FF9">
        <w:t>Ustan</w:t>
      </w:r>
      <w:proofErr w:type="spellEnd"/>
      <w:r w:rsidR="00395B16" w:rsidRPr="00455FF9">
        <w:t xml:space="preserve"> (Eds</w:t>
      </w:r>
      <w:r w:rsidR="00796815" w:rsidRPr="00455FF9">
        <w:t>.</w:t>
      </w:r>
      <w:r w:rsidR="00395B16" w:rsidRPr="00455FF9">
        <w:t>)</w:t>
      </w:r>
      <w:r w:rsidR="00796815" w:rsidRPr="00455FF9">
        <w:t>,</w:t>
      </w:r>
      <w:r w:rsidR="00395B16" w:rsidRPr="00455FF9">
        <w:t xml:space="preserve"> </w:t>
      </w:r>
      <w:r w:rsidRPr="00455FF9">
        <w:rPr>
          <w:i/>
        </w:rPr>
        <w:t xml:space="preserve">The WHO </w:t>
      </w:r>
      <w:r w:rsidR="00796815" w:rsidRPr="00455FF9">
        <w:rPr>
          <w:i/>
        </w:rPr>
        <w:t>W</w:t>
      </w:r>
      <w:r w:rsidRPr="00455FF9">
        <w:rPr>
          <w:i/>
        </w:rPr>
        <w:t xml:space="preserve">orld </w:t>
      </w:r>
      <w:r w:rsidR="00796815" w:rsidRPr="00455FF9">
        <w:rPr>
          <w:i/>
        </w:rPr>
        <w:t>M</w:t>
      </w:r>
      <w:r w:rsidRPr="00455FF9">
        <w:rPr>
          <w:i/>
        </w:rPr>
        <w:t xml:space="preserve">ental </w:t>
      </w:r>
      <w:r w:rsidR="00796815" w:rsidRPr="00455FF9">
        <w:rPr>
          <w:i/>
        </w:rPr>
        <w:t>H</w:t>
      </w:r>
      <w:r w:rsidRPr="00455FF9">
        <w:rPr>
          <w:i/>
        </w:rPr>
        <w:t xml:space="preserve">ealth </w:t>
      </w:r>
      <w:r w:rsidR="00796815" w:rsidRPr="00455FF9">
        <w:rPr>
          <w:i/>
        </w:rPr>
        <w:t>S</w:t>
      </w:r>
      <w:r w:rsidRPr="00455FF9">
        <w:rPr>
          <w:i/>
        </w:rPr>
        <w:t>urveys: Global perspectives on the epidemiology of mental disorders</w:t>
      </w:r>
      <w:r w:rsidR="00E22203">
        <w:t xml:space="preserve">, </w:t>
      </w:r>
      <w:r w:rsidR="00E67EFA">
        <w:t>(</w:t>
      </w:r>
      <w:r w:rsidR="00E22203" w:rsidRPr="00455FF9">
        <w:t>pp. 511–521</w:t>
      </w:r>
      <w:r w:rsidR="00E67EFA">
        <w:t>)</w:t>
      </w:r>
      <w:r w:rsidR="00E22203" w:rsidRPr="00455FF9">
        <w:t>.</w:t>
      </w:r>
      <w:r w:rsidR="00E22203">
        <w:t xml:space="preserve"> </w:t>
      </w:r>
      <w:r w:rsidRPr="00455FF9">
        <w:t>Cambridge University Press</w:t>
      </w:r>
      <w:r w:rsidR="00813AE1" w:rsidRPr="00455FF9">
        <w:t xml:space="preserve">. </w:t>
      </w:r>
    </w:p>
    <w:p w14:paraId="5FFDFA35" w14:textId="68383238" w:rsidR="00026684" w:rsidRPr="00455FF9" w:rsidRDefault="00026684" w:rsidP="00305DBA">
      <w:pPr>
        <w:ind w:left="567" w:hanging="567"/>
      </w:pPr>
      <w:r w:rsidRPr="00455FF9">
        <w:t xml:space="preserve">Koshy, P. (2019). </w:t>
      </w:r>
      <w:r w:rsidRPr="00455FF9">
        <w:rPr>
          <w:i/>
        </w:rPr>
        <w:t>Equity Student Participation in Australian Higher Education: 2013 – 2018</w:t>
      </w:r>
      <w:r w:rsidRPr="00455FF9">
        <w:t xml:space="preserve">. National Centre for Student Equity in Higher Education (NCSEHE), Curtin University. </w:t>
      </w:r>
      <w:hyperlink r:id="rId25" w:tooltip="Koshy, P. (2019). Equity Student Participation in Australian Higher Education: 2013 – 2018. National Centre for Student Equity in Higher Education (NCSEHE), Curtin University. " w:history="1">
        <w:r w:rsidR="001C4694" w:rsidRPr="00455FF9">
          <w:rPr>
            <w:rStyle w:val="Hyperlink"/>
            <w:rFonts w:cs="Arial"/>
          </w:rPr>
          <w:t>https://www.ncsehe.edu.au/publications/briefing-note-equity-student-participation-in-australian-higher-education-2013-2018/</w:t>
        </w:r>
      </w:hyperlink>
    </w:p>
    <w:p w14:paraId="2B938F18" w14:textId="62FA48C0" w:rsidR="00530892" w:rsidRPr="00455FF9" w:rsidRDefault="007562E8" w:rsidP="00305DBA">
      <w:pPr>
        <w:ind w:left="567" w:hanging="567"/>
      </w:pPr>
      <w:r w:rsidRPr="00455FF9">
        <w:t xml:space="preserve">Martin, L. M. (1994). </w:t>
      </w:r>
      <w:r w:rsidRPr="00455FF9">
        <w:rPr>
          <w:i/>
        </w:rPr>
        <w:t>Equity and General Performance Indicators in Higher Education</w:t>
      </w:r>
      <w:r w:rsidRPr="00455FF9">
        <w:t>. Volumes 1-2. Australian Government Publishing Service.</w:t>
      </w:r>
    </w:p>
    <w:p w14:paraId="480F3692" w14:textId="433F47A9" w:rsidR="001333BF" w:rsidRPr="00455FF9" w:rsidRDefault="001333BF" w:rsidP="00305DBA">
      <w:pPr>
        <w:ind w:left="567" w:hanging="567"/>
      </w:pPr>
      <w:r w:rsidRPr="00455FF9">
        <w:t xml:space="preserve">Martin, L.M. (2016). </w:t>
      </w:r>
      <w:r w:rsidR="00547B67" w:rsidRPr="00455FF9">
        <w:t xml:space="preserve">Framing the Framework: The Origins of </w:t>
      </w:r>
      <w:r w:rsidR="00547B67" w:rsidRPr="00455FF9">
        <w:rPr>
          <w:i/>
        </w:rPr>
        <w:t>A Fair Chance for All</w:t>
      </w:r>
      <w:r w:rsidRPr="00455FF9">
        <w:t xml:space="preserve">. In A. Harvey, C. </w:t>
      </w:r>
      <w:proofErr w:type="spellStart"/>
      <w:r w:rsidRPr="00455FF9">
        <w:t>Burnheim</w:t>
      </w:r>
      <w:proofErr w:type="spellEnd"/>
      <w:r w:rsidRPr="00455FF9">
        <w:t xml:space="preserve">, &amp; M. Brett (Eds.), </w:t>
      </w:r>
      <w:r w:rsidRPr="00455FF9">
        <w:rPr>
          <w:i/>
        </w:rPr>
        <w:t>Student Equity in Australian Higher Education: Twenty-five years of A Fair Chance for All</w:t>
      </w:r>
      <w:r w:rsidR="00E67EFA">
        <w:t>, (</w:t>
      </w:r>
      <w:r w:rsidR="00E67EFA" w:rsidRPr="00455FF9">
        <w:t>pp. 21–37</w:t>
      </w:r>
      <w:r w:rsidR="00E67EFA">
        <w:t>)</w:t>
      </w:r>
      <w:r w:rsidR="00047E3F">
        <w:t>.</w:t>
      </w:r>
      <w:r w:rsidRPr="00455FF9">
        <w:t xml:space="preserve"> </w:t>
      </w:r>
      <w:r w:rsidR="00011882" w:rsidRPr="00455FF9">
        <w:t>Springer</w:t>
      </w:r>
      <w:r w:rsidR="00047E3F">
        <w:t>.</w:t>
      </w:r>
      <w:r w:rsidR="00011882" w:rsidRPr="00455FF9">
        <w:t xml:space="preserve"> </w:t>
      </w:r>
    </w:p>
    <w:p w14:paraId="7C1828BE" w14:textId="1277B125" w:rsidR="002772DE" w:rsidRPr="00455FF9" w:rsidRDefault="002772DE" w:rsidP="00305DBA">
      <w:pPr>
        <w:ind w:left="567" w:hanging="567"/>
        <w:rPr>
          <w:i/>
          <w:iCs/>
        </w:rPr>
      </w:pPr>
      <w:r w:rsidRPr="00455FF9">
        <w:t xml:space="preserve">National Centre for Student Equity in Higher Education. (2016). </w:t>
      </w:r>
      <w:r w:rsidRPr="00455FF9">
        <w:rPr>
          <w:i/>
        </w:rPr>
        <w:t xml:space="preserve">Submission to Higher Education Standards Panel </w:t>
      </w:r>
      <w:r w:rsidRPr="00455FF9">
        <w:t>Review of Transparency of Higher Education Admissions Processes.</w:t>
      </w:r>
    </w:p>
    <w:p w14:paraId="5B735B34" w14:textId="5A8FF5DB" w:rsidR="004F6C3E" w:rsidRPr="00455FF9" w:rsidRDefault="004F6C3E" w:rsidP="00305DBA">
      <w:pPr>
        <w:ind w:left="567" w:hanging="567"/>
      </w:pPr>
      <w:r w:rsidRPr="00455FF9">
        <w:t>National Centre for Student Equity in Higher Education. (2020</w:t>
      </w:r>
      <w:r w:rsidR="005B7C83">
        <w:t>a</w:t>
      </w:r>
      <w:r w:rsidRPr="00455FF9">
        <w:t xml:space="preserve">). </w:t>
      </w:r>
      <w:r w:rsidRPr="00455FF9">
        <w:rPr>
          <w:i/>
        </w:rPr>
        <w:t>Submission</w:t>
      </w:r>
      <w:r w:rsidR="005B7C83">
        <w:rPr>
          <w:i/>
        </w:rPr>
        <w:t xml:space="preserve"> to the</w:t>
      </w:r>
      <w:r w:rsidRPr="00455FF9">
        <w:rPr>
          <w:i/>
        </w:rPr>
        <w:t xml:space="preserve"> </w:t>
      </w:r>
      <w:r w:rsidR="005B7C83" w:rsidRPr="005B7C83">
        <w:rPr>
          <w:i/>
        </w:rPr>
        <w:t>2020 Review of the Disability Standards for Education 2005</w:t>
      </w:r>
      <w:r w:rsidRPr="00455FF9">
        <w:t xml:space="preserve">. National Centre for Student Equity in Higher Education (NCSEHE), Curtin University. </w:t>
      </w:r>
    </w:p>
    <w:p w14:paraId="51564502" w14:textId="57766199" w:rsidR="000663AD" w:rsidRPr="00455FF9" w:rsidRDefault="000663AD" w:rsidP="00305DBA">
      <w:pPr>
        <w:ind w:left="567" w:hanging="567"/>
      </w:pPr>
      <w:r w:rsidRPr="00455FF9">
        <w:t>National Centre for Student Equity in Higher Education. (2020</w:t>
      </w:r>
      <w:r w:rsidR="004F6C3E">
        <w:t>b</w:t>
      </w:r>
      <w:r w:rsidRPr="00455FF9">
        <w:t xml:space="preserve">). </w:t>
      </w:r>
      <w:r w:rsidRPr="00455FF9">
        <w:rPr>
          <w:i/>
        </w:rPr>
        <w:t>Submission to the Job-ready Graduates Package draft legislation consultation</w:t>
      </w:r>
      <w:r w:rsidRPr="00455FF9">
        <w:t xml:space="preserve">. National Centre for Student Equity in Higher Education (NCSEHE), Curtin University. </w:t>
      </w:r>
    </w:p>
    <w:p w14:paraId="596ACB0B" w14:textId="089B1D6D" w:rsidR="00CC73C4" w:rsidRPr="00455FF9" w:rsidRDefault="00CC73C4" w:rsidP="00305DBA">
      <w:pPr>
        <w:ind w:left="567" w:hanging="567"/>
        <w:rPr>
          <w:i/>
          <w:iCs/>
        </w:rPr>
      </w:pPr>
      <w:r w:rsidRPr="00455FF9">
        <w:rPr>
          <w:color w:val="292929"/>
          <w:shd w:val="clear" w:color="auto" w:fill="FFFFFF"/>
        </w:rPr>
        <w:t xml:space="preserve">Naylor, R., &amp; Mifsud, N. (2019). </w:t>
      </w:r>
      <w:r w:rsidRPr="00455FF9">
        <w:rPr>
          <w:i/>
        </w:rPr>
        <w:t xml:space="preserve">Structural inequality in higher education: Creating institutional cultures that enable all students. </w:t>
      </w:r>
      <w:r w:rsidRPr="00455FF9">
        <w:t>National Centre for Student Equity in Higher Education (NCSEHE), Curtin University</w:t>
      </w:r>
      <w:r>
        <w:t>.</w:t>
      </w:r>
      <w:r w:rsidRPr="00455FF9">
        <w:t xml:space="preserve"> </w:t>
      </w:r>
      <w:hyperlink r:id="rId26" w:tooltip="Naylor, R., &amp; Mifsud, N. (2019). Structural inequality in higher education: Creating institutional cultures that enable all students. National Centre for Student Equity in Higher Education (NCSEHE), Curtin University. " w:history="1">
        <w:r w:rsidRPr="00455FF9">
          <w:rPr>
            <w:rStyle w:val="Hyperlink"/>
            <w:rFonts w:cs="Arial"/>
          </w:rPr>
          <w:t>https://www.ncsehe.edu.au/wp-content/uploads/2019/09/NaylorMifsud-FINAL.pdf</w:t>
        </w:r>
      </w:hyperlink>
      <w:r w:rsidRPr="00455FF9">
        <w:t xml:space="preserve"> </w:t>
      </w:r>
    </w:p>
    <w:p w14:paraId="50BCFC3A" w14:textId="6F0A108A" w:rsidR="00567813" w:rsidRPr="00455FF9" w:rsidRDefault="00567813" w:rsidP="00305DBA">
      <w:pPr>
        <w:ind w:left="567" w:hanging="567"/>
        <w:rPr>
          <w:rFonts w:cs="Arial"/>
          <w:color w:val="292929"/>
          <w:bdr w:val="none" w:sz="0" w:space="0" w:color="auto" w:frame="1"/>
          <w:shd w:val="clear" w:color="auto" w:fill="FFFFFF"/>
        </w:rPr>
      </w:pPr>
      <w:proofErr w:type="spellStart"/>
      <w:r w:rsidRPr="00455FF9">
        <w:rPr>
          <w:rFonts w:cs="Arial"/>
          <w:color w:val="292929"/>
          <w:bdr w:val="none" w:sz="0" w:space="0" w:color="auto" w:frame="1"/>
          <w:shd w:val="clear" w:color="auto" w:fill="FFFFFF"/>
        </w:rPr>
        <w:t>Orygen</w:t>
      </w:r>
      <w:proofErr w:type="spellEnd"/>
      <w:r w:rsidRPr="00455FF9">
        <w:rPr>
          <w:rFonts w:cs="Arial"/>
          <w:color w:val="292929"/>
          <w:bdr w:val="none" w:sz="0" w:space="0" w:color="auto" w:frame="1"/>
          <w:shd w:val="clear" w:color="auto" w:fill="FFFFFF"/>
        </w:rPr>
        <w:t xml:space="preserve">. (2020). </w:t>
      </w:r>
      <w:r w:rsidR="00954A36" w:rsidRPr="00455FF9">
        <w:rPr>
          <w:rFonts w:cs="Arial"/>
          <w:i/>
          <w:color w:val="292929"/>
          <w:bdr w:val="none" w:sz="0" w:space="0" w:color="auto" w:frame="1"/>
          <w:shd w:val="clear" w:color="auto" w:fill="FFFFFF"/>
        </w:rPr>
        <w:t>Australian University Mental Health Framework</w:t>
      </w:r>
      <w:r w:rsidR="00954A36" w:rsidRPr="00455FF9">
        <w:rPr>
          <w:rFonts w:cs="Arial"/>
          <w:color w:val="292929"/>
          <w:bdr w:val="none" w:sz="0" w:space="0" w:color="auto" w:frame="1"/>
          <w:shd w:val="clear" w:color="auto" w:fill="FFFFFF"/>
        </w:rPr>
        <w:t xml:space="preserve">. </w:t>
      </w:r>
      <w:hyperlink r:id="rId27" w:tooltip="Orygen. (2020). Australian University Mental Health Framework. " w:history="1">
        <w:r w:rsidR="00954A36" w:rsidRPr="00455FF9">
          <w:rPr>
            <w:rStyle w:val="Hyperlink"/>
            <w:rFonts w:cs="Arial"/>
            <w:bdr w:val="none" w:sz="0" w:space="0" w:color="auto" w:frame="1"/>
            <w:shd w:val="clear" w:color="auto" w:fill="FFFFFF"/>
          </w:rPr>
          <w:t>www.orygen.org.au</w:t>
        </w:r>
      </w:hyperlink>
      <w:r w:rsidR="00954A36" w:rsidRPr="00455FF9">
        <w:rPr>
          <w:rFonts w:cs="Arial"/>
          <w:color w:val="292929"/>
          <w:bdr w:val="none" w:sz="0" w:space="0" w:color="auto" w:frame="1"/>
          <w:shd w:val="clear" w:color="auto" w:fill="FFFFFF"/>
        </w:rPr>
        <w:t xml:space="preserve">. </w:t>
      </w:r>
    </w:p>
    <w:p w14:paraId="3AA2BA4F" w14:textId="1018BD4E" w:rsidR="00AB12E2" w:rsidRPr="00455FF9" w:rsidRDefault="00A355D6" w:rsidP="00305DBA">
      <w:pPr>
        <w:ind w:left="567" w:hanging="567"/>
      </w:pPr>
      <w:r w:rsidRPr="00455FF9">
        <w:t>O’Shea, S., Koshy, P.</w:t>
      </w:r>
      <w:r w:rsidR="00DE2F4E" w:rsidRPr="00455FF9">
        <w:t>,</w:t>
      </w:r>
      <w:r w:rsidRPr="00455FF9">
        <w:t xml:space="preserve"> &amp; </w:t>
      </w:r>
      <w:proofErr w:type="spellStart"/>
      <w:r w:rsidRPr="00455FF9">
        <w:t>Drane</w:t>
      </w:r>
      <w:proofErr w:type="spellEnd"/>
      <w:r w:rsidRPr="00455FF9">
        <w:t>, C. (</w:t>
      </w:r>
      <w:r w:rsidR="008C4E70" w:rsidRPr="00455FF9">
        <w:t>in-review</w:t>
      </w:r>
      <w:r w:rsidRPr="00455FF9">
        <w:t>).</w:t>
      </w:r>
      <w:r w:rsidR="0099543E" w:rsidRPr="00455FF9">
        <w:t xml:space="preserve"> </w:t>
      </w:r>
      <w:r w:rsidR="00DE2F4E" w:rsidRPr="00455FF9">
        <w:t>The Implications of COVID-19 for Student Equity in Australian Higher Education.</w:t>
      </w:r>
    </w:p>
    <w:p w14:paraId="162E2CA6" w14:textId="26391680" w:rsidR="00973E15" w:rsidRPr="00455FF9" w:rsidRDefault="00973E15" w:rsidP="00305DBA">
      <w:pPr>
        <w:ind w:left="567" w:hanging="567"/>
        <w:rPr>
          <w:shd w:val="clear" w:color="auto" w:fill="FFFFFF"/>
        </w:rPr>
      </w:pPr>
      <w:r w:rsidRPr="00455FF9">
        <w:rPr>
          <w:shd w:val="clear" w:color="auto" w:fill="FFFFFF"/>
        </w:rPr>
        <w:t xml:space="preserve">Owen, C., McCann, D., Rayner, C., Devereaux, C., Sheehan, F., &amp; </w:t>
      </w:r>
      <w:proofErr w:type="spellStart"/>
      <w:r w:rsidRPr="00455FF9">
        <w:rPr>
          <w:shd w:val="clear" w:color="auto" w:fill="FFFFFF"/>
        </w:rPr>
        <w:t>Quarmby</w:t>
      </w:r>
      <w:proofErr w:type="spellEnd"/>
      <w:r w:rsidRPr="00455FF9">
        <w:rPr>
          <w:shd w:val="clear" w:color="auto" w:fill="FFFFFF"/>
        </w:rPr>
        <w:t xml:space="preserve">, L. (2016). </w:t>
      </w:r>
      <w:r w:rsidRPr="00455FF9">
        <w:rPr>
          <w:rStyle w:val="Emphasis"/>
          <w:rFonts w:cs="Arial"/>
          <w:color w:val="292929"/>
          <w:bdr w:val="none" w:sz="0" w:space="0" w:color="auto" w:frame="1"/>
          <w:shd w:val="clear" w:color="auto" w:fill="FFFFFF"/>
        </w:rPr>
        <w:t>Supporting Students with Autism Spectrum Disorder in Higher Education</w:t>
      </w:r>
      <w:r w:rsidRPr="00455FF9">
        <w:rPr>
          <w:shd w:val="clear" w:color="auto" w:fill="FFFFFF"/>
        </w:rPr>
        <w:t>. Report submitted to the National Centre for Student Equity in Higher Education (NCSEHE), Curtin University</w:t>
      </w:r>
      <w:r w:rsidR="001F24B9">
        <w:rPr>
          <w:shd w:val="clear" w:color="auto" w:fill="FFFFFF"/>
        </w:rPr>
        <w:t>.</w:t>
      </w:r>
      <w:r w:rsidRPr="00455FF9">
        <w:rPr>
          <w:shd w:val="clear" w:color="auto" w:fill="FFFFFF"/>
        </w:rPr>
        <w:t xml:space="preserve"> </w:t>
      </w:r>
    </w:p>
    <w:p w14:paraId="7EA29204" w14:textId="50C6D649" w:rsidR="001E0949" w:rsidRPr="00455FF9" w:rsidRDefault="001E0949" w:rsidP="00305DBA">
      <w:pPr>
        <w:ind w:left="567" w:hanging="567"/>
        <w:rPr>
          <w:rFonts w:cs="Arial"/>
          <w:color w:val="292929"/>
          <w:shd w:val="clear" w:color="auto" w:fill="FFFFFF"/>
        </w:rPr>
      </w:pPr>
      <w:r w:rsidRPr="00455FF9">
        <w:rPr>
          <w:rFonts w:cs="Arial"/>
          <w:color w:val="292929"/>
          <w:shd w:val="clear" w:color="auto" w:fill="FFFFFF"/>
        </w:rPr>
        <w:lastRenderedPageBreak/>
        <w:t xml:space="preserve">Quality Indicators for Learning and Teaching. (2020). </w:t>
      </w:r>
      <w:r w:rsidRPr="00455FF9">
        <w:rPr>
          <w:rFonts w:cs="Arial"/>
          <w:i/>
          <w:color w:val="292929"/>
          <w:shd w:val="clear" w:color="auto" w:fill="FFFFFF"/>
        </w:rPr>
        <w:t>QILT 2020 GOS-L National Tables</w:t>
      </w:r>
      <w:r w:rsidR="00A403AD">
        <w:rPr>
          <w:rFonts w:cs="Arial"/>
          <w:i/>
          <w:color w:val="292929"/>
          <w:shd w:val="clear" w:color="auto" w:fill="FFFFFF"/>
        </w:rPr>
        <w:t>.</w:t>
      </w:r>
      <w:r w:rsidRPr="00455FF9">
        <w:rPr>
          <w:rFonts w:cs="Arial"/>
          <w:color w:val="292929"/>
          <w:shd w:val="clear" w:color="auto" w:fill="FFFFFF"/>
        </w:rPr>
        <w:t xml:space="preserve"> </w:t>
      </w:r>
      <w:hyperlink r:id="rId28" w:tooltip="Quality Indicators for Learning and Teaching. (2020). QILT 2020 GOS-L National Tables. " w:history="1">
        <w:r w:rsidR="007B0916" w:rsidRPr="00455FF9">
          <w:rPr>
            <w:rStyle w:val="Hyperlink"/>
            <w:rFonts w:cs="Arial"/>
            <w:shd w:val="clear" w:color="auto" w:fill="FFFFFF"/>
          </w:rPr>
          <w:t>https://www.qilt.edu.au/qilt-surveys/graduate-employment</w:t>
        </w:r>
      </w:hyperlink>
      <w:r w:rsidR="007B0916" w:rsidRPr="00455FF9">
        <w:rPr>
          <w:rFonts w:cs="Arial"/>
          <w:color w:val="292929"/>
          <w:shd w:val="clear" w:color="auto" w:fill="FFFFFF"/>
        </w:rPr>
        <w:t>.</w:t>
      </w:r>
    </w:p>
    <w:p w14:paraId="0EC43321" w14:textId="73A09358" w:rsidR="00106E7E" w:rsidRPr="00455FF9" w:rsidRDefault="00106E7E" w:rsidP="00305DBA">
      <w:pPr>
        <w:ind w:left="567" w:hanging="567"/>
        <w:rPr>
          <w:shd w:val="clear" w:color="auto" w:fill="FFFFFF"/>
        </w:rPr>
      </w:pPr>
      <w:r w:rsidRPr="00455FF9">
        <w:rPr>
          <w:shd w:val="clear" w:color="auto" w:fill="FFFFFF"/>
        </w:rPr>
        <w:t xml:space="preserve">Richardson, S., Bennett, D. &amp; Roberts, L. (2016). </w:t>
      </w:r>
      <w:r w:rsidRPr="00455FF9">
        <w:rPr>
          <w:i/>
          <w:shd w:val="clear" w:color="auto" w:fill="FFFFFF"/>
        </w:rPr>
        <w:t>Investigating the Relationship Between Equity and Graduate Outcomes in Australia</w:t>
      </w:r>
      <w:r w:rsidRPr="00455FF9">
        <w:rPr>
          <w:shd w:val="clear" w:color="auto" w:fill="FFFFFF"/>
        </w:rPr>
        <w:t>. Report submitted to the National Centre for Student Equity in Higher Education (NCSEHE), Curtin University.</w:t>
      </w:r>
    </w:p>
    <w:p w14:paraId="07BE6F08" w14:textId="7E7C0656" w:rsidR="00CA2BD2" w:rsidRPr="00455FF9" w:rsidRDefault="00CA2BD2" w:rsidP="00305DBA">
      <w:pPr>
        <w:ind w:left="567" w:hanging="567"/>
        <w:rPr>
          <w:iCs/>
        </w:rPr>
      </w:pPr>
      <w:r w:rsidRPr="00455FF9">
        <w:rPr>
          <w:shd w:val="clear" w:color="auto" w:fill="FFFFFF"/>
        </w:rPr>
        <w:t>Urbis. (2015). Review of the Disability Standards for Education 2005.</w:t>
      </w:r>
    </w:p>
    <w:p w14:paraId="5F4D6D0C" w14:textId="49AD1D06" w:rsidR="00CA2BD2" w:rsidRDefault="006652C1" w:rsidP="00305DBA">
      <w:pPr>
        <w:ind w:left="567"/>
        <w:rPr>
          <w:rStyle w:val="Hyperlink"/>
          <w:rFonts w:cs="Arial"/>
          <w:shd w:val="clear" w:color="auto" w:fill="FFFFFF"/>
        </w:rPr>
      </w:pPr>
      <w:hyperlink r:id="rId29" w:tooltip="Urbis. (2015). Review of the Disability Standards for Education 2005.  " w:history="1">
        <w:r w:rsidR="00110F1A" w:rsidRPr="00455FF9">
          <w:rPr>
            <w:rStyle w:val="Hyperlink"/>
            <w:rFonts w:cs="Arial"/>
            <w:shd w:val="clear" w:color="auto" w:fill="FFFFFF"/>
          </w:rPr>
          <w:t>https://docs.education.gov.au/system/files/doc/other/final-report-2015-dse-review.pdf</w:t>
        </w:r>
      </w:hyperlink>
    </w:p>
    <w:p w14:paraId="1CC6D4B7" w14:textId="20B2C8F1" w:rsidR="00A403AD" w:rsidRDefault="00A403AD" w:rsidP="00305DBA">
      <w:pPr>
        <w:ind w:left="567" w:hanging="567"/>
        <w:rPr>
          <w:i/>
          <w:iCs/>
        </w:rPr>
      </w:pPr>
      <w:r>
        <w:t xml:space="preserve">Zacharias, N., &amp; Brett, M. (2019). </w:t>
      </w:r>
      <w:r>
        <w:rPr>
          <w:i/>
        </w:rPr>
        <w:t>The Best Chance for All. Student Equity 2030 – A long-term strategic vision for student equity in higher education.</w:t>
      </w:r>
      <w:r w:rsidR="00047E3F">
        <w:t xml:space="preserve"> </w:t>
      </w:r>
      <w:r w:rsidR="00047E3F" w:rsidRPr="00455FF9">
        <w:rPr>
          <w:color w:val="292929"/>
          <w:shd w:val="clear" w:color="auto" w:fill="FFFFFF"/>
        </w:rPr>
        <w:t>National Centre for Student Equity in Higher Education (NCSEHE), Curtin University</w:t>
      </w:r>
      <w:r w:rsidR="004C6A42">
        <w:rPr>
          <w:color w:val="292929"/>
          <w:shd w:val="clear" w:color="auto" w:fill="FFFFFF"/>
        </w:rPr>
        <w:t>.</w:t>
      </w:r>
      <w:r>
        <w:rPr>
          <w:i/>
        </w:rPr>
        <w:t xml:space="preserve"> </w:t>
      </w:r>
      <w:hyperlink r:id="rId30" w:tooltip="Zacharias, N., &amp; Brett, M. (2019). The Best Chance for All. Student Equity 2030 – A long-term strategic vision for student equity in higher education. National Centre for Student Equity in Higher Education (NCSEHE), Curtin University. " w:history="1">
        <w:r>
          <w:rPr>
            <w:rStyle w:val="Hyperlink"/>
            <w:rFonts w:cs="Arial"/>
          </w:rPr>
          <w:t>https://www.ncsehe.edu.au/wp-content/uploads/2019/03/Equity2030_FINAL.pdf</w:t>
        </w:r>
      </w:hyperlink>
    </w:p>
    <w:p w14:paraId="7213D4D7" w14:textId="77777777" w:rsidR="00A403AD" w:rsidRPr="00455FF9" w:rsidRDefault="00A403AD" w:rsidP="00305DBA">
      <w:pPr>
        <w:ind w:left="567" w:hanging="567"/>
        <w:rPr>
          <w:shd w:val="clear" w:color="auto" w:fill="FFFFFF"/>
        </w:rPr>
      </w:pPr>
    </w:p>
    <w:sectPr w:rsidR="00A403AD" w:rsidRPr="00455FF9" w:rsidSect="00B14518">
      <w:footerReference w:type="default" r:id="rId31"/>
      <w:pgSz w:w="11906" w:h="16838"/>
      <w:pgMar w:top="155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1115D" w14:textId="77777777" w:rsidR="006652C1" w:rsidRDefault="006652C1" w:rsidP="005267D3">
      <w:r>
        <w:separator/>
      </w:r>
    </w:p>
  </w:endnote>
  <w:endnote w:type="continuationSeparator" w:id="0">
    <w:p w14:paraId="00805A6E" w14:textId="77777777" w:rsidR="006652C1" w:rsidRDefault="006652C1" w:rsidP="005267D3">
      <w:r>
        <w:continuationSeparator/>
      </w:r>
    </w:p>
  </w:endnote>
  <w:endnote w:type="continuationNotice" w:id="1">
    <w:p w14:paraId="15100CB4" w14:textId="77777777" w:rsidR="006652C1" w:rsidRDefault="006652C1" w:rsidP="00526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1A24CC6C-F6DA-6545-A499-8AE3CE5393C4}"/>
  </w:font>
  <w:font w:name="Times New Roman">
    <w:panose1 w:val="02020603050405020304"/>
    <w:charset w:val="00"/>
    <w:family w:val="roman"/>
    <w:pitch w:val="variable"/>
    <w:sig w:usb0="20002A87" w:usb1="80000000" w:usb2="00000008" w:usb3="00000000" w:csb0="000001FF" w:csb1="00000000"/>
    <w:embedRegular r:id="rId2" w:fontKey="{D798E712-DE4E-914F-90EC-0A0A55582BFE}"/>
    <w:embedBold r:id="rId3" w:fontKey="{76EC8D03-E739-EC49-86BC-7C21BC6F1BE0}"/>
    <w:embedItalic r:id="rId4" w:fontKey="{7CA9061E-CDF4-1E4B-AD44-DDAC333CCD6B}"/>
    <w:embedBoldItalic r:id="rId5" w:fontKey="{D5936590-C77D-4646-B78A-C8B7251DD806}"/>
  </w:font>
  <w:font w:name="Courier New">
    <w:panose1 w:val="02070309020205020404"/>
    <w:charset w:val="00"/>
    <w:family w:val="modern"/>
    <w:pitch w:val="fixed"/>
    <w:sig w:usb0="E0002AFF" w:usb1="C0007843" w:usb2="00000009" w:usb3="00000000" w:csb0="000001FF" w:csb1="00000000"/>
    <w:embedRegular r:id="rId6" w:fontKey="{BB038189-1932-0246-A7E9-1A19D05B5A31}"/>
  </w:font>
  <w:font w:name="Wingdings">
    <w:panose1 w:val="05000000000000000000"/>
    <w:charset w:val="4D"/>
    <w:family w:val="decorative"/>
    <w:pitch w:val="variable"/>
    <w:sig w:usb0="00000003" w:usb1="10000000" w:usb2="00000000" w:usb3="00000000" w:csb0="80000001" w:csb1="00000000"/>
    <w:embedRegular r:id="rId7" w:fontKey="{CE09DF4F-1B12-0C49-BB2A-9DFBDD1EA9E8}"/>
  </w:font>
  <w:font w:name="Arial">
    <w:panose1 w:val="020B0604020202020204"/>
    <w:charset w:val="00"/>
    <w:family w:val="swiss"/>
    <w:pitch w:val="variable"/>
    <w:sig w:usb0="E0002AFF" w:usb1="C0007843" w:usb2="00000009" w:usb3="00000000" w:csb0="000001FF" w:csb1="00000000"/>
    <w:embedRegular r:id="rId8" w:fontKey="{059D4950-BD48-C443-A8D1-C8E8383B3809}"/>
    <w:embedBold r:id="rId9" w:fontKey="{E11D6080-3B31-D74E-82EA-259D126DDB3A}"/>
    <w:embedItalic r:id="rId10" w:fontKey="{36A1457B-AF46-8D44-823F-DDE654604684}"/>
    <w:embedBoldItalic r:id="rId11" w:fontKey="{CE2E4F44-3FDA-BE49-925C-A43DA318DFBC}"/>
  </w:font>
  <w:font w:name="Calibri">
    <w:panose1 w:val="020F0502020204030204"/>
    <w:charset w:val="00"/>
    <w:family w:val="swiss"/>
    <w:pitch w:val="variable"/>
    <w:sig w:usb0="A00002EF" w:usb1="4000207B" w:usb2="00000000" w:usb3="00000000" w:csb0="0000009F" w:csb1="00000000"/>
    <w:embedRegular r:id="rId12" w:fontKey="{E7C00BCC-ABDD-D748-ACBF-D60B8D020A29}"/>
    <w:embedBold r:id="rId13" w:fontKey="{38EF4CF3-B9C8-AE46-AF86-FF5672FB22AD}"/>
    <w:embedItalic r:id="rId14" w:fontKey="{F8F23602-BA34-464D-AE98-E698254297BF}"/>
    <w:embedBoldItalic r:id="rId15" w:fontKey="{6927144E-5225-B842-81FD-5546376E6E9A}"/>
  </w:font>
  <w:font w:name="SansaSoft Pro SemiBold">
    <w:panose1 w:val="020B0604020202020204"/>
    <w:charset w:val="4D"/>
    <w:family w:val="auto"/>
    <w:notTrueType/>
    <w:pitch w:val="variable"/>
    <w:sig w:usb0="800000AF" w:usb1="00000042"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ansaSoft Pro Normal">
    <w:altName w:val="Calibri"/>
    <w:panose1 w:val="020B0604020202020204"/>
    <w:charset w:val="4D"/>
    <w:family w:val="auto"/>
    <w:notTrueType/>
    <w:pitch w:val="variable"/>
    <w:sig w:usb0="800000AF" w:usb1="00000042" w:usb2="00000000" w:usb3="00000000" w:csb0="0000000B"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ngravers MT">
    <w:panose1 w:val="02090707080505020304"/>
    <w:charset w:val="4D"/>
    <w:family w:val="roman"/>
    <w:pitch w:val="variable"/>
    <w:sig w:usb0="00000003" w:usb1="00000000" w:usb2="00000000" w:usb3="00000000" w:csb0="00000001" w:csb1="00000000"/>
    <w:embedRegular r:id="rId16" w:fontKey="{10DE69C6-A95E-7D4D-91FA-1884380DEC47}"/>
  </w:font>
  <w:font w:name="ArialMT">
    <w:altName w:val="Arial"/>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7" w:fontKey="{5974135B-E97D-974E-B0FE-FD1470B222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ED872" w14:textId="77777777" w:rsidR="00A079F1" w:rsidRDefault="00A079F1" w:rsidP="005267D3">
    <w:pPr>
      <w:pStyle w:val="Footer"/>
    </w:pPr>
  </w:p>
  <w:p w14:paraId="2EADD5AE" w14:textId="44FBB499" w:rsidR="00A079F1" w:rsidRPr="00B94EF4" w:rsidRDefault="00A079F1" w:rsidP="005267D3">
    <w:pPr>
      <w:pStyle w:val="Footer"/>
    </w:pPr>
    <w:r w:rsidRPr="00B94EF4">
      <w:t>National Centre for Student Equity in Higher Education, 25 September 2020</w:t>
    </w:r>
    <w:r w:rsidRPr="00B94EF4">
      <w:ptab w:relativeTo="margin" w:alignment="right" w:leader="none"/>
    </w:r>
    <w:r w:rsidRPr="00B94EF4">
      <w:fldChar w:fldCharType="begin"/>
    </w:r>
    <w:r w:rsidRPr="00B94EF4">
      <w:instrText xml:space="preserve"> PAGE   \* MERGEFORMAT </w:instrText>
    </w:r>
    <w:r w:rsidRPr="00B94EF4">
      <w:fldChar w:fldCharType="separate"/>
    </w:r>
    <w:r w:rsidR="00257FE2">
      <w:rPr>
        <w:noProof/>
      </w:rPr>
      <w:t>6</w:t>
    </w:r>
    <w:r w:rsidRPr="00B94E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45057" w14:textId="77777777" w:rsidR="006652C1" w:rsidRDefault="006652C1" w:rsidP="005267D3">
      <w:r>
        <w:separator/>
      </w:r>
    </w:p>
  </w:footnote>
  <w:footnote w:type="continuationSeparator" w:id="0">
    <w:p w14:paraId="7EADDD1A" w14:textId="77777777" w:rsidR="006652C1" w:rsidRDefault="006652C1" w:rsidP="005267D3">
      <w:r>
        <w:continuationSeparator/>
      </w:r>
    </w:p>
  </w:footnote>
  <w:footnote w:type="continuationNotice" w:id="1">
    <w:p w14:paraId="25C7A117" w14:textId="77777777" w:rsidR="006652C1" w:rsidRDefault="006652C1" w:rsidP="005267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DE9"/>
    <w:multiLevelType w:val="hybridMultilevel"/>
    <w:tmpl w:val="387C5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64143"/>
    <w:multiLevelType w:val="hybridMultilevel"/>
    <w:tmpl w:val="EDA69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F31BB3"/>
    <w:multiLevelType w:val="hybridMultilevel"/>
    <w:tmpl w:val="BE92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C621E"/>
    <w:multiLevelType w:val="hybridMultilevel"/>
    <w:tmpl w:val="E90292D6"/>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4" w15:restartNumberingAfterBreak="0">
    <w:nsid w:val="0B171556"/>
    <w:multiLevelType w:val="hybridMultilevel"/>
    <w:tmpl w:val="5D108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6D2F9E"/>
    <w:multiLevelType w:val="hybridMultilevel"/>
    <w:tmpl w:val="FE48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711D3"/>
    <w:multiLevelType w:val="hybridMultilevel"/>
    <w:tmpl w:val="739461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5B033E0"/>
    <w:multiLevelType w:val="hybridMultilevel"/>
    <w:tmpl w:val="8B98B3F8"/>
    <w:lvl w:ilvl="0" w:tplc="0C090001">
      <w:start w:val="1"/>
      <w:numFmt w:val="bullet"/>
      <w:lvlText w:val=""/>
      <w:lvlJc w:val="left"/>
      <w:pPr>
        <w:ind w:left="720" w:hanging="360"/>
      </w:pPr>
      <w:rPr>
        <w:rFonts w:ascii="Symbol" w:hAnsi="Symbol" w:hint="default"/>
      </w:rPr>
    </w:lvl>
    <w:lvl w:ilvl="1" w:tplc="B34E27D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F4883"/>
    <w:multiLevelType w:val="hybridMultilevel"/>
    <w:tmpl w:val="F8A0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621BAA"/>
    <w:multiLevelType w:val="hybridMultilevel"/>
    <w:tmpl w:val="19402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533A7B"/>
    <w:multiLevelType w:val="hybridMultilevel"/>
    <w:tmpl w:val="69C04534"/>
    <w:lvl w:ilvl="0" w:tplc="21866A72">
      <w:start w:val="1"/>
      <w:numFmt w:val="bullet"/>
      <w:lvlText w:val=""/>
      <w:lvlJc w:val="left"/>
      <w:pPr>
        <w:tabs>
          <w:tab w:val="num" w:pos="720"/>
        </w:tabs>
        <w:ind w:left="720" w:hanging="360"/>
      </w:pPr>
      <w:rPr>
        <w:rFonts w:ascii="Symbol" w:hAnsi="Symbol" w:hint="default"/>
        <w:sz w:val="20"/>
      </w:rPr>
    </w:lvl>
    <w:lvl w:ilvl="1" w:tplc="199E17EE" w:tentative="1">
      <w:start w:val="1"/>
      <w:numFmt w:val="bullet"/>
      <w:lvlText w:val=""/>
      <w:lvlJc w:val="left"/>
      <w:pPr>
        <w:tabs>
          <w:tab w:val="num" w:pos="1440"/>
        </w:tabs>
        <w:ind w:left="1440" w:hanging="360"/>
      </w:pPr>
      <w:rPr>
        <w:rFonts w:ascii="Symbol" w:hAnsi="Symbol" w:hint="default"/>
        <w:sz w:val="20"/>
      </w:rPr>
    </w:lvl>
    <w:lvl w:ilvl="2" w:tplc="573626FC" w:tentative="1">
      <w:start w:val="1"/>
      <w:numFmt w:val="bullet"/>
      <w:lvlText w:val=""/>
      <w:lvlJc w:val="left"/>
      <w:pPr>
        <w:tabs>
          <w:tab w:val="num" w:pos="2160"/>
        </w:tabs>
        <w:ind w:left="2160" w:hanging="360"/>
      </w:pPr>
      <w:rPr>
        <w:rFonts w:ascii="Symbol" w:hAnsi="Symbol" w:hint="default"/>
        <w:sz w:val="20"/>
      </w:rPr>
    </w:lvl>
    <w:lvl w:ilvl="3" w:tplc="17686AD8" w:tentative="1">
      <w:start w:val="1"/>
      <w:numFmt w:val="bullet"/>
      <w:lvlText w:val=""/>
      <w:lvlJc w:val="left"/>
      <w:pPr>
        <w:tabs>
          <w:tab w:val="num" w:pos="2880"/>
        </w:tabs>
        <w:ind w:left="2880" w:hanging="360"/>
      </w:pPr>
      <w:rPr>
        <w:rFonts w:ascii="Symbol" w:hAnsi="Symbol" w:hint="default"/>
        <w:sz w:val="20"/>
      </w:rPr>
    </w:lvl>
    <w:lvl w:ilvl="4" w:tplc="78363122" w:tentative="1">
      <w:start w:val="1"/>
      <w:numFmt w:val="bullet"/>
      <w:lvlText w:val=""/>
      <w:lvlJc w:val="left"/>
      <w:pPr>
        <w:tabs>
          <w:tab w:val="num" w:pos="3600"/>
        </w:tabs>
        <w:ind w:left="3600" w:hanging="360"/>
      </w:pPr>
      <w:rPr>
        <w:rFonts w:ascii="Symbol" w:hAnsi="Symbol" w:hint="default"/>
        <w:sz w:val="20"/>
      </w:rPr>
    </w:lvl>
    <w:lvl w:ilvl="5" w:tplc="6C264B64" w:tentative="1">
      <w:start w:val="1"/>
      <w:numFmt w:val="bullet"/>
      <w:lvlText w:val=""/>
      <w:lvlJc w:val="left"/>
      <w:pPr>
        <w:tabs>
          <w:tab w:val="num" w:pos="4320"/>
        </w:tabs>
        <w:ind w:left="4320" w:hanging="360"/>
      </w:pPr>
      <w:rPr>
        <w:rFonts w:ascii="Symbol" w:hAnsi="Symbol" w:hint="default"/>
        <w:sz w:val="20"/>
      </w:rPr>
    </w:lvl>
    <w:lvl w:ilvl="6" w:tplc="D4B01C6C" w:tentative="1">
      <w:start w:val="1"/>
      <w:numFmt w:val="bullet"/>
      <w:lvlText w:val=""/>
      <w:lvlJc w:val="left"/>
      <w:pPr>
        <w:tabs>
          <w:tab w:val="num" w:pos="5040"/>
        </w:tabs>
        <w:ind w:left="5040" w:hanging="360"/>
      </w:pPr>
      <w:rPr>
        <w:rFonts w:ascii="Symbol" w:hAnsi="Symbol" w:hint="default"/>
        <w:sz w:val="20"/>
      </w:rPr>
    </w:lvl>
    <w:lvl w:ilvl="7" w:tplc="E0AEF194" w:tentative="1">
      <w:start w:val="1"/>
      <w:numFmt w:val="bullet"/>
      <w:lvlText w:val=""/>
      <w:lvlJc w:val="left"/>
      <w:pPr>
        <w:tabs>
          <w:tab w:val="num" w:pos="5760"/>
        </w:tabs>
        <w:ind w:left="5760" w:hanging="360"/>
      </w:pPr>
      <w:rPr>
        <w:rFonts w:ascii="Symbol" w:hAnsi="Symbol" w:hint="default"/>
        <w:sz w:val="20"/>
      </w:rPr>
    </w:lvl>
    <w:lvl w:ilvl="8" w:tplc="6FBACC9A"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F14FEB"/>
    <w:multiLevelType w:val="hybridMultilevel"/>
    <w:tmpl w:val="4B4E6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265FB8"/>
    <w:multiLevelType w:val="hybridMultilevel"/>
    <w:tmpl w:val="C61CDB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04B7806"/>
    <w:multiLevelType w:val="hybridMultilevel"/>
    <w:tmpl w:val="9FE0E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CB27FB"/>
    <w:multiLevelType w:val="hybridMultilevel"/>
    <w:tmpl w:val="00702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7D3B26"/>
    <w:multiLevelType w:val="hybridMultilevel"/>
    <w:tmpl w:val="D170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849F8"/>
    <w:multiLevelType w:val="hybridMultilevel"/>
    <w:tmpl w:val="F704F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B36111"/>
    <w:multiLevelType w:val="hybridMultilevel"/>
    <w:tmpl w:val="387C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E5B44"/>
    <w:multiLevelType w:val="hybridMultilevel"/>
    <w:tmpl w:val="B0682596"/>
    <w:lvl w:ilvl="0" w:tplc="504033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D7481C"/>
    <w:multiLevelType w:val="hybridMultilevel"/>
    <w:tmpl w:val="5BC0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8D04CB"/>
    <w:multiLevelType w:val="hybridMultilevel"/>
    <w:tmpl w:val="028E7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87771B"/>
    <w:multiLevelType w:val="hybridMultilevel"/>
    <w:tmpl w:val="51C8D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A2242"/>
    <w:multiLevelType w:val="hybridMultilevel"/>
    <w:tmpl w:val="D04EB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9E45D3"/>
    <w:multiLevelType w:val="hybridMultilevel"/>
    <w:tmpl w:val="D970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03534C"/>
    <w:multiLevelType w:val="hybridMultilevel"/>
    <w:tmpl w:val="A6360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B727BD"/>
    <w:multiLevelType w:val="hybridMultilevel"/>
    <w:tmpl w:val="8B74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BE5353"/>
    <w:multiLevelType w:val="hybridMultilevel"/>
    <w:tmpl w:val="CBFE7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0D5C54"/>
    <w:multiLevelType w:val="hybridMultilevel"/>
    <w:tmpl w:val="B1A6B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3A6BF4"/>
    <w:multiLevelType w:val="hybridMultilevel"/>
    <w:tmpl w:val="FE546F06"/>
    <w:lvl w:ilvl="0" w:tplc="AF001E08">
      <w:start w:val="1"/>
      <w:numFmt w:val="bullet"/>
      <w:pStyle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5483C68"/>
    <w:multiLevelType w:val="hybridMultilevel"/>
    <w:tmpl w:val="511A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B633F4"/>
    <w:multiLevelType w:val="hybridMultilevel"/>
    <w:tmpl w:val="6920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B265C1"/>
    <w:multiLevelType w:val="hybridMultilevel"/>
    <w:tmpl w:val="D270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C3C51"/>
    <w:multiLevelType w:val="hybridMultilevel"/>
    <w:tmpl w:val="75F0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411D24"/>
    <w:multiLevelType w:val="hybridMultilevel"/>
    <w:tmpl w:val="3D3CB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457DFB"/>
    <w:multiLevelType w:val="hybridMultilevel"/>
    <w:tmpl w:val="A75E6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32"/>
  </w:num>
  <w:num w:numId="4">
    <w:abstractNumId w:val="34"/>
  </w:num>
  <w:num w:numId="5">
    <w:abstractNumId w:val="13"/>
  </w:num>
  <w:num w:numId="6">
    <w:abstractNumId w:val="26"/>
  </w:num>
  <w:num w:numId="7">
    <w:abstractNumId w:val="14"/>
  </w:num>
  <w:num w:numId="8">
    <w:abstractNumId w:val="16"/>
  </w:num>
  <w:num w:numId="9">
    <w:abstractNumId w:val="2"/>
  </w:num>
  <w:num w:numId="10">
    <w:abstractNumId w:val="25"/>
  </w:num>
  <w:num w:numId="11">
    <w:abstractNumId w:val="17"/>
  </w:num>
  <w:num w:numId="12">
    <w:abstractNumId w:val="27"/>
  </w:num>
  <w:num w:numId="13">
    <w:abstractNumId w:val="9"/>
  </w:num>
  <w:num w:numId="14">
    <w:abstractNumId w:val="21"/>
  </w:num>
  <w:num w:numId="15">
    <w:abstractNumId w:val="33"/>
  </w:num>
  <w:num w:numId="16">
    <w:abstractNumId w:val="8"/>
  </w:num>
  <w:num w:numId="17">
    <w:abstractNumId w:val="18"/>
  </w:num>
  <w:num w:numId="18">
    <w:abstractNumId w:val="24"/>
  </w:num>
  <w:num w:numId="19">
    <w:abstractNumId w:val="12"/>
  </w:num>
  <w:num w:numId="20">
    <w:abstractNumId w:val="31"/>
  </w:num>
  <w:num w:numId="21">
    <w:abstractNumId w:val="5"/>
  </w:num>
  <w:num w:numId="22">
    <w:abstractNumId w:val="20"/>
  </w:num>
  <w:num w:numId="23">
    <w:abstractNumId w:val="0"/>
  </w:num>
  <w:num w:numId="24">
    <w:abstractNumId w:val="3"/>
  </w:num>
  <w:num w:numId="25">
    <w:abstractNumId w:val="10"/>
  </w:num>
  <w:num w:numId="26">
    <w:abstractNumId w:val="15"/>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9"/>
  </w:num>
  <w:num w:numId="30">
    <w:abstractNumId w:val="4"/>
  </w:num>
  <w:num w:numId="31">
    <w:abstractNumId w:val="1"/>
  </w:num>
  <w:num w:numId="32">
    <w:abstractNumId w:val="11"/>
  </w:num>
  <w:num w:numId="33">
    <w:abstractNumId w:val="7"/>
  </w:num>
  <w:num w:numId="34">
    <w:abstractNumId w:val="22"/>
  </w:num>
  <w:num w:numId="35">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embedTrueTypeFont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xNLc0MTEwsjAzMjZT0lEKTi0uzszPAykwqwUABxqm0SwAAAA="/>
  </w:docVars>
  <w:rsids>
    <w:rsidRoot w:val="00833A14"/>
    <w:rsid w:val="00000A41"/>
    <w:rsid w:val="00000B98"/>
    <w:rsid w:val="00001439"/>
    <w:rsid w:val="00001EE1"/>
    <w:rsid w:val="00002125"/>
    <w:rsid w:val="0000265B"/>
    <w:rsid w:val="00002B97"/>
    <w:rsid w:val="000034AC"/>
    <w:rsid w:val="00003697"/>
    <w:rsid w:val="00003D6D"/>
    <w:rsid w:val="00003FCC"/>
    <w:rsid w:val="00005713"/>
    <w:rsid w:val="00006079"/>
    <w:rsid w:val="00007088"/>
    <w:rsid w:val="000070C6"/>
    <w:rsid w:val="000070E2"/>
    <w:rsid w:val="00011876"/>
    <w:rsid w:val="00011882"/>
    <w:rsid w:val="00011894"/>
    <w:rsid w:val="00011DD7"/>
    <w:rsid w:val="000124A8"/>
    <w:rsid w:val="000126DD"/>
    <w:rsid w:val="000128C5"/>
    <w:rsid w:val="00012D7E"/>
    <w:rsid w:val="00012DD4"/>
    <w:rsid w:val="00012FED"/>
    <w:rsid w:val="0001395B"/>
    <w:rsid w:val="00014A16"/>
    <w:rsid w:val="00014E52"/>
    <w:rsid w:val="00016CFD"/>
    <w:rsid w:val="0001798B"/>
    <w:rsid w:val="000200AC"/>
    <w:rsid w:val="00020533"/>
    <w:rsid w:val="00020590"/>
    <w:rsid w:val="00020866"/>
    <w:rsid w:val="000209DB"/>
    <w:rsid w:val="000210DD"/>
    <w:rsid w:val="0002111C"/>
    <w:rsid w:val="00022838"/>
    <w:rsid w:val="00022D98"/>
    <w:rsid w:val="00022FA3"/>
    <w:rsid w:val="00024539"/>
    <w:rsid w:val="000253EC"/>
    <w:rsid w:val="0002619A"/>
    <w:rsid w:val="00026684"/>
    <w:rsid w:val="00027C27"/>
    <w:rsid w:val="0003084B"/>
    <w:rsid w:val="00030BD6"/>
    <w:rsid w:val="00031AA3"/>
    <w:rsid w:val="00032EBD"/>
    <w:rsid w:val="00033ADF"/>
    <w:rsid w:val="00033C3F"/>
    <w:rsid w:val="00033D60"/>
    <w:rsid w:val="000340AB"/>
    <w:rsid w:val="0003484B"/>
    <w:rsid w:val="00034C1C"/>
    <w:rsid w:val="0003532B"/>
    <w:rsid w:val="00035F99"/>
    <w:rsid w:val="00036123"/>
    <w:rsid w:val="00036827"/>
    <w:rsid w:val="00036866"/>
    <w:rsid w:val="00036940"/>
    <w:rsid w:val="00036A5B"/>
    <w:rsid w:val="000370C0"/>
    <w:rsid w:val="000400AA"/>
    <w:rsid w:val="000404B5"/>
    <w:rsid w:val="000414F7"/>
    <w:rsid w:val="0004318B"/>
    <w:rsid w:val="00043836"/>
    <w:rsid w:val="00043CC0"/>
    <w:rsid w:val="0004437A"/>
    <w:rsid w:val="0004556E"/>
    <w:rsid w:val="000463C6"/>
    <w:rsid w:val="000465BD"/>
    <w:rsid w:val="000469F5"/>
    <w:rsid w:val="00046B7E"/>
    <w:rsid w:val="00046D7D"/>
    <w:rsid w:val="00047E3F"/>
    <w:rsid w:val="00050FED"/>
    <w:rsid w:val="00051BA6"/>
    <w:rsid w:val="00051EEA"/>
    <w:rsid w:val="000522E1"/>
    <w:rsid w:val="0005311C"/>
    <w:rsid w:val="00053575"/>
    <w:rsid w:val="00053DA1"/>
    <w:rsid w:val="000544F7"/>
    <w:rsid w:val="0005454D"/>
    <w:rsid w:val="00054D59"/>
    <w:rsid w:val="000552AE"/>
    <w:rsid w:val="00055CA7"/>
    <w:rsid w:val="00056EF1"/>
    <w:rsid w:val="0005703E"/>
    <w:rsid w:val="00057BE4"/>
    <w:rsid w:val="00060510"/>
    <w:rsid w:val="00060858"/>
    <w:rsid w:val="00060CF2"/>
    <w:rsid w:val="00061AAE"/>
    <w:rsid w:val="00062588"/>
    <w:rsid w:val="0006305E"/>
    <w:rsid w:val="000651BA"/>
    <w:rsid w:val="00066111"/>
    <w:rsid w:val="000663AD"/>
    <w:rsid w:val="000663E7"/>
    <w:rsid w:val="00066806"/>
    <w:rsid w:val="00066B08"/>
    <w:rsid w:val="00066EE3"/>
    <w:rsid w:val="0006760B"/>
    <w:rsid w:val="000678B6"/>
    <w:rsid w:val="00070E46"/>
    <w:rsid w:val="000724C8"/>
    <w:rsid w:val="000726FE"/>
    <w:rsid w:val="0007315D"/>
    <w:rsid w:val="00073254"/>
    <w:rsid w:val="000740E5"/>
    <w:rsid w:val="00074909"/>
    <w:rsid w:val="000764A5"/>
    <w:rsid w:val="00076C85"/>
    <w:rsid w:val="00076F49"/>
    <w:rsid w:val="00080072"/>
    <w:rsid w:val="000803F2"/>
    <w:rsid w:val="000806EE"/>
    <w:rsid w:val="00080BC1"/>
    <w:rsid w:val="00081743"/>
    <w:rsid w:val="0008180C"/>
    <w:rsid w:val="000822F3"/>
    <w:rsid w:val="00082F61"/>
    <w:rsid w:val="000834AA"/>
    <w:rsid w:val="00083BE5"/>
    <w:rsid w:val="000856BE"/>
    <w:rsid w:val="00085924"/>
    <w:rsid w:val="00085B34"/>
    <w:rsid w:val="000862D3"/>
    <w:rsid w:val="00086C83"/>
    <w:rsid w:val="00087A45"/>
    <w:rsid w:val="000902EE"/>
    <w:rsid w:val="00090454"/>
    <w:rsid w:val="00090586"/>
    <w:rsid w:val="00090A21"/>
    <w:rsid w:val="00090BD0"/>
    <w:rsid w:val="00090CC1"/>
    <w:rsid w:val="0009192B"/>
    <w:rsid w:val="0009257F"/>
    <w:rsid w:val="0009297F"/>
    <w:rsid w:val="00092A80"/>
    <w:rsid w:val="00092C21"/>
    <w:rsid w:val="00093266"/>
    <w:rsid w:val="000945BD"/>
    <w:rsid w:val="0009462C"/>
    <w:rsid w:val="00094D03"/>
    <w:rsid w:val="0009596A"/>
    <w:rsid w:val="000959D7"/>
    <w:rsid w:val="00095F44"/>
    <w:rsid w:val="00096236"/>
    <w:rsid w:val="000A00FD"/>
    <w:rsid w:val="000A0663"/>
    <w:rsid w:val="000A0D8A"/>
    <w:rsid w:val="000A2988"/>
    <w:rsid w:val="000A4526"/>
    <w:rsid w:val="000A49D5"/>
    <w:rsid w:val="000A4AA7"/>
    <w:rsid w:val="000A4E51"/>
    <w:rsid w:val="000A558F"/>
    <w:rsid w:val="000A6F4F"/>
    <w:rsid w:val="000A70D0"/>
    <w:rsid w:val="000A7A14"/>
    <w:rsid w:val="000B0387"/>
    <w:rsid w:val="000B0D44"/>
    <w:rsid w:val="000B0EF3"/>
    <w:rsid w:val="000B1394"/>
    <w:rsid w:val="000B1905"/>
    <w:rsid w:val="000B1AE2"/>
    <w:rsid w:val="000B2ECE"/>
    <w:rsid w:val="000B3A25"/>
    <w:rsid w:val="000B4306"/>
    <w:rsid w:val="000B6AD2"/>
    <w:rsid w:val="000B7CEE"/>
    <w:rsid w:val="000C07FB"/>
    <w:rsid w:val="000C0C50"/>
    <w:rsid w:val="000C2F2C"/>
    <w:rsid w:val="000C439E"/>
    <w:rsid w:val="000C4B9F"/>
    <w:rsid w:val="000C4ED6"/>
    <w:rsid w:val="000C5F68"/>
    <w:rsid w:val="000C6063"/>
    <w:rsid w:val="000C68B1"/>
    <w:rsid w:val="000D1242"/>
    <w:rsid w:val="000D199D"/>
    <w:rsid w:val="000D2768"/>
    <w:rsid w:val="000D2A33"/>
    <w:rsid w:val="000D3DDA"/>
    <w:rsid w:val="000D428B"/>
    <w:rsid w:val="000D42A4"/>
    <w:rsid w:val="000D4368"/>
    <w:rsid w:val="000D472C"/>
    <w:rsid w:val="000D47CD"/>
    <w:rsid w:val="000D4B3A"/>
    <w:rsid w:val="000D5201"/>
    <w:rsid w:val="000D6D04"/>
    <w:rsid w:val="000D6EB9"/>
    <w:rsid w:val="000D762D"/>
    <w:rsid w:val="000D7B1E"/>
    <w:rsid w:val="000D7FEC"/>
    <w:rsid w:val="000E04C0"/>
    <w:rsid w:val="000E09C4"/>
    <w:rsid w:val="000E0B92"/>
    <w:rsid w:val="000E0FDF"/>
    <w:rsid w:val="000E1409"/>
    <w:rsid w:val="000E25D9"/>
    <w:rsid w:val="000E26C0"/>
    <w:rsid w:val="000E3575"/>
    <w:rsid w:val="000E3AD5"/>
    <w:rsid w:val="000E3D96"/>
    <w:rsid w:val="000E4B3C"/>
    <w:rsid w:val="000E4F4A"/>
    <w:rsid w:val="000E772C"/>
    <w:rsid w:val="000E7B2E"/>
    <w:rsid w:val="000E7E4A"/>
    <w:rsid w:val="000E7FA3"/>
    <w:rsid w:val="000F0264"/>
    <w:rsid w:val="000F071E"/>
    <w:rsid w:val="000F11B6"/>
    <w:rsid w:val="000F25EF"/>
    <w:rsid w:val="000F26ED"/>
    <w:rsid w:val="000F300D"/>
    <w:rsid w:val="000F433A"/>
    <w:rsid w:val="000F50D3"/>
    <w:rsid w:val="000F5B62"/>
    <w:rsid w:val="000F5D55"/>
    <w:rsid w:val="000F6160"/>
    <w:rsid w:val="000F6344"/>
    <w:rsid w:val="000F6724"/>
    <w:rsid w:val="000F7C0E"/>
    <w:rsid w:val="00100095"/>
    <w:rsid w:val="00100448"/>
    <w:rsid w:val="0010149A"/>
    <w:rsid w:val="00101870"/>
    <w:rsid w:val="00101A72"/>
    <w:rsid w:val="00101B7A"/>
    <w:rsid w:val="001024E4"/>
    <w:rsid w:val="00103BAA"/>
    <w:rsid w:val="00104131"/>
    <w:rsid w:val="00104F61"/>
    <w:rsid w:val="0010676C"/>
    <w:rsid w:val="00106E7E"/>
    <w:rsid w:val="001070D8"/>
    <w:rsid w:val="00110B40"/>
    <w:rsid w:val="00110C05"/>
    <w:rsid w:val="00110D4F"/>
    <w:rsid w:val="00110F1A"/>
    <w:rsid w:val="001125D4"/>
    <w:rsid w:val="0011338B"/>
    <w:rsid w:val="00113583"/>
    <w:rsid w:val="00113928"/>
    <w:rsid w:val="00113A65"/>
    <w:rsid w:val="00114C88"/>
    <w:rsid w:val="00115995"/>
    <w:rsid w:val="0011617C"/>
    <w:rsid w:val="00116CE4"/>
    <w:rsid w:val="00117170"/>
    <w:rsid w:val="00117572"/>
    <w:rsid w:val="00120C5E"/>
    <w:rsid w:val="00120E60"/>
    <w:rsid w:val="0012121F"/>
    <w:rsid w:val="00121392"/>
    <w:rsid w:val="0012157B"/>
    <w:rsid w:val="0012179D"/>
    <w:rsid w:val="00122B86"/>
    <w:rsid w:val="00122BE1"/>
    <w:rsid w:val="001236F5"/>
    <w:rsid w:val="00123F0C"/>
    <w:rsid w:val="00124CAB"/>
    <w:rsid w:val="00124D79"/>
    <w:rsid w:val="00124F1F"/>
    <w:rsid w:val="00125A57"/>
    <w:rsid w:val="00127F7A"/>
    <w:rsid w:val="00130D1D"/>
    <w:rsid w:val="00131764"/>
    <w:rsid w:val="00131C51"/>
    <w:rsid w:val="001333BF"/>
    <w:rsid w:val="0013359D"/>
    <w:rsid w:val="00134348"/>
    <w:rsid w:val="00134485"/>
    <w:rsid w:val="00134875"/>
    <w:rsid w:val="00134909"/>
    <w:rsid w:val="00134E6F"/>
    <w:rsid w:val="00134EB8"/>
    <w:rsid w:val="001351B0"/>
    <w:rsid w:val="001353F2"/>
    <w:rsid w:val="00135A00"/>
    <w:rsid w:val="00135AE9"/>
    <w:rsid w:val="00136B60"/>
    <w:rsid w:val="00136F15"/>
    <w:rsid w:val="00140635"/>
    <w:rsid w:val="00140BE1"/>
    <w:rsid w:val="00140DBA"/>
    <w:rsid w:val="00141AA3"/>
    <w:rsid w:val="00142BEF"/>
    <w:rsid w:val="00142C46"/>
    <w:rsid w:val="0014354F"/>
    <w:rsid w:val="00143A99"/>
    <w:rsid w:val="00146656"/>
    <w:rsid w:val="00146FB0"/>
    <w:rsid w:val="001476FD"/>
    <w:rsid w:val="00147965"/>
    <w:rsid w:val="00147AF9"/>
    <w:rsid w:val="00150014"/>
    <w:rsid w:val="001501AD"/>
    <w:rsid w:val="001515CB"/>
    <w:rsid w:val="00154246"/>
    <w:rsid w:val="00154694"/>
    <w:rsid w:val="00154C90"/>
    <w:rsid w:val="0015561B"/>
    <w:rsid w:val="00155710"/>
    <w:rsid w:val="00156B9F"/>
    <w:rsid w:val="00156E53"/>
    <w:rsid w:val="0015BA11"/>
    <w:rsid w:val="0016229C"/>
    <w:rsid w:val="0016257E"/>
    <w:rsid w:val="00162E59"/>
    <w:rsid w:val="00163D49"/>
    <w:rsid w:val="001647DB"/>
    <w:rsid w:val="00165080"/>
    <w:rsid w:val="00165173"/>
    <w:rsid w:val="0016597D"/>
    <w:rsid w:val="00165D9B"/>
    <w:rsid w:val="00167EC2"/>
    <w:rsid w:val="00167FEF"/>
    <w:rsid w:val="0017002F"/>
    <w:rsid w:val="00170B68"/>
    <w:rsid w:val="001711F1"/>
    <w:rsid w:val="0017232B"/>
    <w:rsid w:val="00172A92"/>
    <w:rsid w:val="00172AAE"/>
    <w:rsid w:val="00172BA6"/>
    <w:rsid w:val="0017318F"/>
    <w:rsid w:val="001732FB"/>
    <w:rsid w:val="00173933"/>
    <w:rsid w:val="00174A05"/>
    <w:rsid w:val="001754A7"/>
    <w:rsid w:val="00176080"/>
    <w:rsid w:val="001765E2"/>
    <w:rsid w:val="00177DB1"/>
    <w:rsid w:val="00177F47"/>
    <w:rsid w:val="001807C0"/>
    <w:rsid w:val="00182488"/>
    <w:rsid w:val="00182861"/>
    <w:rsid w:val="00182BE1"/>
    <w:rsid w:val="00182E0E"/>
    <w:rsid w:val="00183053"/>
    <w:rsid w:val="001831C4"/>
    <w:rsid w:val="00186174"/>
    <w:rsid w:val="00186DC9"/>
    <w:rsid w:val="00187E73"/>
    <w:rsid w:val="00190805"/>
    <w:rsid w:val="00191065"/>
    <w:rsid w:val="00191927"/>
    <w:rsid w:val="00191C22"/>
    <w:rsid w:val="00192D11"/>
    <w:rsid w:val="00194942"/>
    <w:rsid w:val="00194C6C"/>
    <w:rsid w:val="00195037"/>
    <w:rsid w:val="001950CD"/>
    <w:rsid w:val="001955B0"/>
    <w:rsid w:val="00195AF1"/>
    <w:rsid w:val="0019601D"/>
    <w:rsid w:val="00197960"/>
    <w:rsid w:val="00197AD2"/>
    <w:rsid w:val="00197B83"/>
    <w:rsid w:val="00197C19"/>
    <w:rsid w:val="001A03E2"/>
    <w:rsid w:val="001A0592"/>
    <w:rsid w:val="001A0636"/>
    <w:rsid w:val="001A122D"/>
    <w:rsid w:val="001A15DE"/>
    <w:rsid w:val="001A1FFC"/>
    <w:rsid w:val="001A2A32"/>
    <w:rsid w:val="001A2ACB"/>
    <w:rsid w:val="001A3605"/>
    <w:rsid w:val="001A5A5B"/>
    <w:rsid w:val="001A5D71"/>
    <w:rsid w:val="001A678D"/>
    <w:rsid w:val="001A695D"/>
    <w:rsid w:val="001A7BD6"/>
    <w:rsid w:val="001A7FE4"/>
    <w:rsid w:val="001B08C0"/>
    <w:rsid w:val="001B156A"/>
    <w:rsid w:val="001B1873"/>
    <w:rsid w:val="001B2400"/>
    <w:rsid w:val="001B2E36"/>
    <w:rsid w:val="001B30F6"/>
    <w:rsid w:val="001B344E"/>
    <w:rsid w:val="001B39B5"/>
    <w:rsid w:val="001B39B7"/>
    <w:rsid w:val="001B4761"/>
    <w:rsid w:val="001B479D"/>
    <w:rsid w:val="001B59D7"/>
    <w:rsid w:val="001B7D96"/>
    <w:rsid w:val="001B7DC3"/>
    <w:rsid w:val="001B7F45"/>
    <w:rsid w:val="001C0916"/>
    <w:rsid w:val="001C097D"/>
    <w:rsid w:val="001C2285"/>
    <w:rsid w:val="001C4694"/>
    <w:rsid w:val="001C4721"/>
    <w:rsid w:val="001C6937"/>
    <w:rsid w:val="001C6DED"/>
    <w:rsid w:val="001C6E28"/>
    <w:rsid w:val="001C71A7"/>
    <w:rsid w:val="001C7BA5"/>
    <w:rsid w:val="001D00F0"/>
    <w:rsid w:val="001D1E0C"/>
    <w:rsid w:val="001D359F"/>
    <w:rsid w:val="001D6595"/>
    <w:rsid w:val="001D6910"/>
    <w:rsid w:val="001D7507"/>
    <w:rsid w:val="001D772C"/>
    <w:rsid w:val="001D7FED"/>
    <w:rsid w:val="001E0949"/>
    <w:rsid w:val="001E1899"/>
    <w:rsid w:val="001E1EC7"/>
    <w:rsid w:val="001E38A0"/>
    <w:rsid w:val="001E3914"/>
    <w:rsid w:val="001E4077"/>
    <w:rsid w:val="001E4873"/>
    <w:rsid w:val="001E5BE6"/>
    <w:rsid w:val="001F07D4"/>
    <w:rsid w:val="001F0E02"/>
    <w:rsid w:val="001F1C24"/>
    <w:rsid w:val="001F24B9"/>
    <w:rsid w:val="001F36EE"/>
    <w:rsid w:val="001F3958"/>
    <w:rsid w:val="001F3A68"/>
    <w:rsid w:val="001F4739"/>
    <w:rsid w:val="001F5C8F"/>
    <w:rsid w:val="001F6448"/>
    <w:rsid w:val="001F6697"/>
    <w:rsid w:val="001F6A68"/>
    <w:rsid w:val="001F6B93"/>
    <w:rsid w:val="0020045F"/>
    <w:rsid w:val="002008DE"/>
    <w:rsid w:val="00200F67"/>
    <w:rsid w:val="00202135"/>
    <w:rsid w:val="00202778"/>
    <w:rsid w:val="002032AE"/>
    <w:rsid w:val="00203892"/>
    <w:rsid w:val="00203957"/>
    <w:rsid w:val="00203CFE"/>
    <w:rsid w:val="00205005"/>
    <w:rsid w:val="002061F6"/>
    <w:rsid w:val="00206D3C"/>
    <w:rsid w:val="002079B1"/>
    <w:rsid w:val="00207C67"/>
    <w:rsid w:val="00207F9A"/>
    <w:rsid w:val="002102C7"/>
    <w:rsid w:val="00210825"/>
    <w:rsid w:val="002111E0"/>
    <w:rsid w:val="00211A83"/>
    <w:rsid w:val="00212A71"/>
    <w:rsid w:val="002134DD"/>
    <w:rsid w:val="00213E32"/>
    <w:rsid w:val="002147A1"/>
    <w:rsid w:val="00214C6D"/>
    <w:rsid w:val="0021501E"/>
    <w:rsid w:val="0021519C"/>
    <w:rsid w:val="00216095"/>
    <w:rsid w:val="0021731E"/>
    <w:rsid w:val="002201F2"/>
    <w:rsid w:val="0022095B"/>
    <w:rsid w:val="00220B5D"/>
    <w:rsid w:val="002211E8"/>
    <w:rsid w:val="00222623"/>
    <w:rsid w:val="00222722"/>
    <w:rsid w:val="00223DEC"/>
    <w:rsid w:val="00224BC2"/>
    <w:rsid w:val="002251BB"/>
    <w:rsid w:val="002252AB"/>
    <w:rsid w:val="00227C17"/>
    <w:rsid w:val="00230B1E"/>
    <w:rsid w:val="00230F4E"/>
    <w:rsid w:val="00233514"/>
    <w:rsid w:val="00233E0D"/>
    <w:rsid w:val="00233F5B"/>
    <w:rsid w:val="00234383"/>
    <w:rsid w:val="00235777"/>
    <w:rsid w:val="00236210"/>
    <w:rsid w:val="00236379"/>
    <w:rsid w:val="0023661B"/>
    <w:rsid w:val="002372F3"/>
    <w:rsid w:val="00237437"/>
    <w:rsid w:val="00237DD7"/>
    <w:rsid w:val="00240FB1"/>
    <w:rsid w:val="0024118B"/>
    <w:rsid w:val="00241609"/>
    <w:rsid w:val="00241633"/>
    <w:rsid w:val="00241E2F"/>
    <w:rsid w:val="002423B2"/>
    <w:rsid w:val="00242EBF"/>
    <w:rsid w:val="00243EC7"/>
    <w:rsid w:val="00243F2B"/>
    <w:rsid w:val="00245159"/>
    <w:rsid w:val="0024604E"/>
    <w:rsid w:val="0024726B"/>
    <w:rsid w:val="0025071C"/>
    <w:rsid w:val="00250845"/>
    <w:rsid w:val="002508B4"/>
    <w:rsid w:val="0025168F"/>
    <w:rsid w:val="00251D93"/>
    <w:rsid w:val="00251F15"/>
    <w:rsid w:val="0025210A"/>
    <w:rsid w:val="00252472"/>
    <w:rsid w:val="00253C9E"/>
    <w:rsid w:val="002543DD"/>
    <w:rsid w:val="00254F7C"/>
    <w:rsid w:val="00254FB3"/>
    <w:rsid w:val="00255130"/>
    <w:rsid w:val="0025694A"/>
    <w:rsid w:val="002577E6"/>
    <w:rsid w:val="00257FE2"/>
    <w:rsid w:val="00260239"/>
    <w:rsid w:val="0026036E"/>
    <w:rsid w:val="00260635"/>
    <w:rsid w:val="00261463"/>
    <w:rsid w:val="00262D74"/>
    <w:rsid w:val="002636D8"/>
    <w:rsid w:val="00263AD4"/>
    <w:rsid w:val="00263EE7"/>
    <w:rsid w:val="002644D6"/>
    <w:rsid w:val="0026519F"/>
    <w:rsid w:val="00265F5A"/>
    <w:rsid w:val="00266477"/>
    <w:rsid w:val="0026657C"/>
    <w:rsid w:val="002673A5"/>
    <w:rsid w:val="00267A93"/>
    <w:rsid w:val="00267D43"/>
    <w:rsid w:val="00270EFA"/>
    <w:rsid w:val="002711B6"/>
    <w:rsid w:val="00271CFA"/>
    <w:rsid w:val="00272276"/>
    <w:rsid w:val="00273470"/>
    <w:rsid w:val="0027350C"/>
    <w:rsid w:val="002737BE"/>
    <w:rsid w:val="0027473E"/>
    <w:rsid w:val="00274AC8"/>
    <w:rsid w:val="00275335"/>
    <w:rsid w:val="00276356"/>
    <w:rsid w:val="002772DE"/>
    <w:rsid w:val="00277718"/>
    <w:rsid w:val="002809E3"/>
    <w:rsid w:val="0028174F"/>
    <w:rsid w:val="00281D84"/>
    <w:rsid w:val="00281FB2"/>
    <w:rsid w:val="00282E72"/>
    <w:rsid w:val="00283996"/>
    <w:rsid w:val="002870B9"/>
    <w:rsid w:val="00287356"/>
    <w:rsid w:val="00287524"/>
    <w:rsid w:val="002900AA"/>
    <w:rsid w:val="00290152"/>
    <w:rsid w:val="00292C0B"/>
    <w:rsid w:val="00292CBA"/>
    <w:rsid w:val="0029306D"/>
    <w:rsid w:val="00293C9E"/>
    <w:rsid w:val="00294A7F"/>
    <w:rsid w:val="00295997"/>
    <w:rsid w:val="00296E13"/>
    <w:rsid w:val="002A0303"/>
    <w:rsid w:val="002A192B"/>
    <w:rsid w:val="002A1989"/>
    <w:rsid w:val="002A2193"/>
    <w:rsid w:val="002A4150"/>
    <w:rsid w:val="002A4482"/>
    <w:rsid w:val="002A66AA"/>
    <w:rsid w:val="002A788D"/>
    <w:rsid w:val="002A7D93"/>
    <w:rsid w:val="002B03FB"/>
    <w:rsid w:val="002B0EB5"/>
    <w:rsid w:val="002B1E87"/>
    <w:rsid w:val="002B2EEF"/>
    <w:rsid w:val="002B3459"/>
    <w:rsid w:val="002B3F93"/>
    <w:rsid w:val="002B4308"/>
    <w:rsid w:val="002B4B96"/>
    <w:rsid w:val="002B5C77"/>
    <w:rsid w:val="002B6488"/>
    <w:rsid w:val="002B79D1"/>
    <w:rsid w:val="002C003B"/>
    <w:rsid w:val="002C03E5"/>
    <w:rsid w:val="002C16FE"/>
    <w:rsid w:val="002C206F"/>
    <w:rsid w:val="002C2844"/>
    <w:rsid w:val="002C29E2"/>
    <w:rsid w:val="002C2A12"/>
    <w:rsid w:val="002C447A"/>
    <w:rsid w:val="002C6374"/>
    <w:rsid w:val="002C6C43"/>
    <w:rsid w:val="002C7278"/>
    <w:rsid w:val="002C7BB4"/>
    <w:rsid w:val="002D0AC3"/>
    <w:rsid w:val="002D1066"/>
    <w:rsid w:val="002D1159"/>
    <w:rsid w:val="002D1D3F"/>
    <w:rsid w:val="002D2A5F"/>
    <w:rsid w:val="002D2D1A"/>
    <w:rsid w:val="002D3027"/>
    <w:rsid w:val="002D3B35"/>
    <w:rsid w:val="002D494C"/>
    <w:rsid w:val="002D52B1"/>
    <w:rsid w:val="002D5C3C"/>
    <w:rsid w:val="002D6FFE"/>
    <w:rsid w:val="002D70D6"/>
    <w:rsid w:val="002E141A"/>
    <w:rsid w:val="002E224E"/>
    <w:rsid w:val="002E3ECA"/>
    <w:rsid w:val="002E4481"/>
    <w:rsid w:val="002E60A5"/>
    <w:rsid w:val="002E6E5C"/>
    <w:rsid w:val="002E7462"/>
    <w:rsid w:val="002E775C"/>
    <w:rsid w:val="002E790E"/>
    <w:rsid w:val="002F09B6"/>
    <w:rsid w:val="002F1315"/>
    <w:rsid w:val="002F1E3D"/>
    <w:rsid w:val="002F2840"/>
    <w:rsid w:val="002F2848"/>
    <w:rsid w:val="002F2A46"/>
    <w:rsid w:val="002F2C79"/>
    <w:rsid w:val="002F326F"/>
    <w:rsid w:val="002F4A80"/>
    <w:rsid w:val="002F59C9"/>
    <w:rsid w:val="002F6BBF"/>
    <w:rsid w:val="002F6BE9"/>
    <w:rsid w:val="002F7BF2"/>
    <w:rsid w:val="003000EF"/>
    <w:rsid w:val="00300534"/>
    <w:rsid w:val="00300899"/>
    <w:rsid w:val="0030150F"/>
    <w:rsid w:val="00301985"/>
    <w:rsid w:val="00301A44"/>
    <w:rsid w:val="0030434E"/>
    <w:rsid w:val="00305070"/>
    <w:rsid w:val="00305CC3"/>
    <w:rsid w:val="00305DBA"/>
    <w:rsid w:val="00306FA5"/>
    <w:rsid w:val="0030708B"/>
    <w:rsid w:val="003078AE"/>
    <w:rsid w:val="00307B67"/>
    <w:rsid w:val="003104DD"/>
    <w:rsid w:val="003110FF"/>
    <w:rsid w:val="0031136B"/>
    <w:rsid w:val="003115BC"/>
    <w:rsid w:val="00311F3D"/>
    <w:rsid w:val="00312079"/>
    <w:rsid w:val="00312841"/>
    <w:rsid w:val="0031433D"/>
    <w:rsid w:val="00314B3A"/>
    <w:rsid w:val="00314BCF"/>
    <w:rsid w:val="0031529E"/>
    <w:rsid w:val="0031562A"/>
    <w:rsid w:val="003162C1"/>
    <w:rsid w:val="00316757"/>
    <w:rsid w:val="00317101"/>
    <w:rsid w:val="0031768E"/>
    <w:rsid w:val="00317869"/>
    <w:rsid w:val="00317F24"/>
    <w:rsid w:val="00321041"/>
    <w:rsid w:val="00321389"/>
    <w:rsid w:val="00321458"/>
    <w:rsid w:val="00321A16"/>
    <w:rsid w:val="00322D28"/>
    <w:rsid w:val="00322E71"/>
    <w:rsid w:val="00323520"/>
    <w:rsid w:val="003236A8"/>
    <w:rsid w:val="00323F98"/>
    <w:rsid w:val="003261EA"/>
    <w:rsid w:val="00327502"/>
    <w:rsid w:val="00327638"/>
    <w:rsid w:val="00327770"/>
    <w:rsid w:val="0033016E"/>
    <w:rsid w:val="003314F7"/>
    <w:rsid w:val="0033178E"/>
    <w:rsid w:val="00331F31"/>
    <w:rsid w:val="003329AC"/>
    <w:rsid w:val="003340A0"/>
    <w:rsid w:val="00335D4C"/>
    <w:rsid w:val="003365DC"/>
    <w:rsid w:val="003376BB"/>
    <w:rsid w:val="00341016"/>
    <w:rsid w:val="00341124"/>
    <w:rsid w:val="00341F93"/>
    <w:rsid w:val="00342EAC"/>
    <w:rsid w:val="003445CD"/>
    <w:rsid w:val="00344642"/>
    <w:rsid w:val="0034497F"/>
    <w:rsid w:val="00345DA9"/>
    <w:rsid w:val="00346B48"/>
    <w:rsid w:val="00346F1E"/>
    <w:rsid w:val="0034731A"/>
    <w:rsid w:val="00347D56"/>
    <w:rsid w:val="00350CF9"/>
    <w:rsid w:val="0035218B"/>
    <w:rsid w:val="003521BF"/>
    <w:rsid w:val="00352C04"/>
    <w:rsid w:val="00352D1E"/>
    <w:rsid w:val="00353F31"/>
    <w:rsid w:val="00354394"/>
    <w:rsid w:val="003553A4"/>
    <w:rsid w:val="00355C22"/>
    <w:rsid w:val="00355FD7"/>
    <w:rsid w:val="00356814"/>
    <w:rsid w:val="00356D04"/>
    <w:rsid w:val="00356DCB"/>
    <w:rsid w:val="00357944"/>
    <w:rsid w:val="00360F1A"/>
    <w:rsid w:val="00361524"/>
    <w:rsid w:val="003638FC"/>
    <w:rsid w:val="00363AEB"/>
    <w:rsid w:val="00364495"/>
    <w:rsid w:val="00364522"/>
    <w:rsid w:val="00364697"/>
    <w:rsid w:val="00364D9F"/>
    <w:rsid w:val="00365595"/>
    <w:rsid w:val="0036590E"/>
    <w:rsid w:val="00366990"/>
    <w:rsid w:val="00366B24"/>
    <w:rsid w:val="0036713C"/>
    <w:rsid w:val="003671DB"/>
    <w:rsid w:val="00370784"/>
    <w:rsid w:val="00370890"/>
    <w:rsid w:val="00370C5B"/>
    <w:rsid w:val="00370D7B"/>
    <w:rsid w:val="00371487"/>
    <w:rsid w:val="00371880"/>
    <w:rsid w:val="00371965"/>
    <w:rsid w:val="00371A3A"/>
    <w:rsid w:val="003723C6"/>
    <w:rsid w:val="003730DB"/>
    <w:rsid w:val="00373358"/>
    <w:rsid w:val="0037397E"/>
    <w:rsid w:val="00373DFE"/>
    <w:rsid w:val="00373EFB"/>
    <w:rsid w:val="00374CEA"/>
    <w:rsid w:val="003763C5"/>
    <w:rsid w:val="003763EE"/>
    <w:rsid w:val="00376ABC"/>
    <w:rsid w:val="00376B7B"/>
    <w:rsid w:val="003806D8"/>
    <w:rsid w:val="003811F0"/>
    <w:rsid w:val="00381710"/>
    <w:rsid w:val="003826BD"/>
    <w:rsid w:val="00382AAD"/>
    <w:rsid w:val="00382C35"/>
    <w:rsid w:val="00382C60"/>
    <w:rsid w:val="003857AB"/>
    <w:rsid w:val="003863C2"/>
    <w:rsid w:val="003865FD"/>
    <w:rsid w:val="0038738B"/>
    <w:rsid w:val="00387739"/>
    <w:rsid w:val="00390064"/>
    <w:rsid w:val="003902DA"/>
    <w:rsid w:val="0039034E"/>
    <w:rsid w:val="003909BF"/>
    <w:rsid w:val="0039233A"/>
    <w:rsid w:val="00392740"/>
    <w:rsid w:val="00392E4A"/>
    <w:rsid w:val="00392FF4"/>
    <w:rsid w:val="00393718"/>
    <w:rsid w:val="00394916"/>
    <w:rsid w:val="0039522B"/>
    <w:rsid w:val="003957F7"/>
    <w:rsid w:val="00395B16"/>
    <w:rsid w:val="00396436"/>
    <w:rsid w:val="00396A18"/>
    <w:rsid w:val="00396B0A"/>
    <w:rsid w:val="00397C2C"/>
    <w:rsid w:val="003A0143"/>
    <w:rsid w:val="003A03E3"/>
    <w:rsid w:val="003A0F77"/>
    <w:rsid w:val="003A1631"/>
    <w:rsid w:val="003A28CF"/>
    <w:rsid w:val="003A2B1F"/>
    <w:rsid w:val="003A3174"/>
    <w:rsid w:val="003A3261"/>
    <w:rsid w:val="003A3DB5"/>
    <w:rsid w:val="003A4F1C"/>
    <w:rsid w:val="003A52CD"/>
    <w:rsid w:val="003A55F1"/>
    <w:rsid w:val="003A5DF9"/>
    <w:rsid w:val="003A5E83"/>
    <w:rsid w:val="003B108A"/>
    <w:rsid w:val="003B2029"/>
    <w:rsid w:val="003B21C5"/>
    <w:rsid w:val="003B2277"/>
    <w:rsid w:val="003B2402"/>
    <w:rsid w:val="003B2CA3"/>
    <w:rsid w:val="003B5156"/>
    <w:rsid w:val="003B5207"/>
    <w:rsid w:val="003B5318"/>
    <w:rsid w:val="003B5550"/>
    <w:rsid w:val="003B5719"/>
    <w:rsid w:val="003B65F5"/>
    <w:rsid w:val="003B6CF2"/>
    <w:rsid w:val="003B7710"/>
    <w:rsid w:val="003B7852"/>
    <w:rsid w:val="003C021D"/>
    <w:rsid w:val="003C06DF"/>
    <w:rsid w:val="003C091F"/>
    <w:rsid w:val="003C0A12"/>
    <w:rsid w:val="003C0D15"/>
    <w:rsid w:val="003C11A1"/>
    <w:rsid w:val="003C23D8"/>
    <w:rsid w:val="003C39F4"/>
    <w:rsid w:val="003C3A67"/>
    <w:rsid w:val="003C3D1C"/>
    <w:rsid w:val="003C3FF6"/>
    <w:rsid w:val="003C4196"/>
    <w:rsid w:val="003C446A"/>
    <w:rsid w:val="003C478F"/>
    <w:rsid w:val="003C5206"/>
    <w:rsid w:val="003C5662"/>
    <w:rsid w:val="003C57A8"/>
    <w:rsid w:val="003C5A90"/>
    <w:rsid w:val="003C6CF8"/>
    <w:rsid w:val="003C7447"/>
    <w:rsid w:val="003C7920"/>
    <w:rsid w:val="003C7F6A"/>
    <w:rsid w:val="003D03F6"/>
    <w:rsid w:val="003D0768"/>
    <w:rsid w:val="003D0815"/>
    <w:rsid w:val="003D0B84"/>
    <w:rsid w:val="003D15B6"/>
    <w:rsid w:val="003D207B"/>
    <w:rsid w:val="003D3676"/>
    <w:rsid w:val="003D3A0D"/>
    <w:rsid w:val="003D425A"/>
    <w:rsid w:val="003D4D14"/>
    <w:rsid w:val="003D5EBE"/>
    <w:rsid w:val="003D67E2"/>
    <w:rsid w:val="003D7DCC"/>
    <w:rsid w:val="003E0115"/>
    <w:rsid w:val="003E04BB"/>
    <w:rsid w:val="003E1938"/>
    <w:rsid w:val="003E1EBA"/>
    <w:rsid w:val="003E3EA0"/>
    <w:rsid w:val="003E78A1"/>
    <w:rsid w:val="003E7CF9"/>
    <w:rsid w:val="003E7E68"/>
    <w:rsid w:val="003F01FE"/>
    <w:rsid w:val="003F063B"/>
    <w:rsid w:val="003F0E6B"/>
    <w:rsid w:val="003F1969"/>
    <w:rsid w:val="003F1EFB"/>
    <w:rsid w:val="003F2BDE"/>
    <w:rsid w:val="003F44BB"/>
    <w:rsid w:val="003F573D"/>
    <w:rsid w:val="003F5853"/>
    <w:rsid w:val="003F73D5"/>
    <w:rsid w:val="003F7D5D"/>
    <w:rsid w:val="004017AF"/>
    <w:rsid w:val="00401AE6"/>
    <w:rsid w:val="0040201F"/>
    <w:rsid w:val="0040212B"/>
    <w:rsid w:val="00402274"/>
    <w:rsid w:val="004022C7"/>
    <w:rsid w:val="0040271B"/>
    <w:rsid w:val="00403619"/>
    <w:rsid w:val="004039DE"/>
    <w:rsid w:val="00403BE6"/>
    <w:rsid w:val="00404603"/>
    <w:rsid w:val="00404F63"/>
    <w:rsid w:val="0040554F"/>
    <w:rsid w:val="00405631"/>
    <w:rsid w:val="00405A04"/>
    <w:rsid w:val="00405BB3"/>
    <w:rsid w:val="00406E53"/>
    <w:rsid w:val="00407C9B"/>
    <w:rsid w:val="00410E3A"/>
    <w:rsid w:val="00411749"/>
    <w:rsid w:val="00411B39"/>
    <w:rsid w:val="00413330"/>
    <w:rsid w:val="0041411C"/>
    <w:rsid w:val="004143B5"/>
    <w:rsid w:val="00414AFA"/>
    <w:rsid w:val="00414B56"/>
    <w:rsid w:val="0041556E"/>
    <w:rsid w:val="004155AF"/>
    <w:rsid w:val="00415677"/>
    <w:rsid w:val="004158D0"/>
    <w:rsid w:val="00415A0E"/>
    <w:rsid w:val="00416034"/>
    <w:rsid w:val="004161BF"/>
    <w:rsid w:val="004169B6"/>
    <w:rsid w:val="004173AB"/>
    <w:rsid w:val="00417F94"/>
    <w:rsid w:val="004217DE"/>
    <w:rsid w:val="004219CB"/>
    <w:rsid w:val="00421A22"/>
    <w:rsid w:val="00421D44"/>
    <w:rsid w:val="00422039"/>
    <w:rsid w:val="00422CF3"/>
    <w:rsid w:val="004235DE"/>
    <w:rsid w:val="00424C43"/>
    <w:rsid w:val="00425098"/>
    <w:rsid w:val="00425E36"/>
    <w:rsid w:val="00426B9E"/>
    <w:rsid w:val="0042777A"/>
    <w:rsid w:val="00430BD0"/>
    <w:rsid w:val="00431C15"/>
    <w:rsid w:val="004325D6"/>
    <w:rsid w:val="00432B8C"/>
    <w:rsid w:val="00432F1D"/>
    <w:rsid w:val="00433899"/>
    <w:rsid w:val="0043405A"/>
    <w:rsid w:val="0043425F"/>
    <w:rsid w:val="00435D46"/>
    <w:rsid w:val="004367F4"/>
    <w:rsid w:val="00437C93"/>
    <w:rsid w:val="00440A17"/>
    <w:rsid w:val="00440B48"/>
    <w:rsid w:val="00440D3A"/>
    <w:rsid w:val="00441F53"/>
    <w:rsid w:val="004427A8"/>
    <w:rsid w:val="004438DC"/>
    <w:rsid w:val="00443EEC"/>
    <w:rsid w:val="00444AFE"/>
    <w:rsid w:val="00444D8C"/>
    <w:rsid w:val="004452AA"/>
    <w:rsid w:val="00445AC0"/>
    <w:rsid w:val="004467A1"/>
    <w:rsid w:val="004475D8"/>
    <w:rsid w:val="004501C6"/>
    <w:rsid w:val="004504CF"/>
    <w:rsid w:val="00450948"/>
    <w:rsid w:val="00450B34"/>
    <w:rsid w:val="00452363"/>
    <w:rsid w:val="00452A30"/>
    <w:rsid w:val="00452F4B"/>
    <w:rsid w:val="00453642"/>
    <w:rsid w:val="00453FB1"/>
    <w:rsid w:val="004540E1"/>
    <w:rsid w:val="00454AF8"/>
    <w:rsid w:val="0045555A"/>
    <w:rsid w:val="004557B0"/>
    <w:rsid w:val="0045582B"/>
    <w:rsid w:val="00455B5A"/>
    <w:rsid w:val="00455FF9"/>
    <w:rsid w:val="00457509"/>
    <w:rsid w:val="00457836"/>
    <w:rsid w:val="004604B2"/>
    <w:rsid w:val="004604DD"/>
    <w:rsid w:val="00461E6C"/>
    <w:rsid w:val="004628D8"/>
    <w:rsid w:val="00463118"/>
    <w:rsid w:val="00464AAD"/>
    <w:rsid w:val="00465429"/>
    <w:rsid w:val="0046547D"/>
    <w:rsid w:val="0046551B"/>
    <w:rsid w:val="0046559B"/>
    <w:rsid w:val="00465813"/>
    <w:rsid w:val="00465E81"/>
    <w:rsid w:val="00466ED0"/>
    <w:rsid w:val="00467136"/>
    <w:rsid w:val="00467142"/>
    <w:rsid w:val="00467A71"/>
    <w:rsid w:val="00470088"/>
    <w:rsid w:val="004703E0"/>
    <w:rsid w:val="004705C6"/>
    <w:rsid w:val="00471760"/>
    <w:rsid w:val="00471C08"/>
    <w:rsid w:val="00471E87"/>
    <w:rsid w:val="00472C5A"/>
    <w:rsid w:val="00473ADB"/>
    <w:rsid w:val="00473BD8"/>
    <w:rsid w:val="00473EB3"/>
    <w:rsid w:val="00474C93"/>
    <w:rsid w:val="00475533"/>
    <w:rsid w:val="004772DB"/>
    <w:rsid w:val="004773A7"/>
    <w:rsid w:val="00477FE0"/>
    <w:rsid w:val="004814F4"/>
    <w:rsid w:val="00483093"/>
    <w:rsid w:val="00483279"/>
    <w:rsid w:val="004833D4"/>
    <w:rsid w:val="00484772"/>
    <w:rsid w:val="00485458"/>
    <w:rsid w:val="00485ED0"/>
    <w:rsid w:val="00486B9F"/>
    <w:rsid w:val="00487719"/>
    <w:rsid w:val="00487B7A"/>
    <w:rsid w:val="004900E1"/>
    <w:rsid w:val="004906C9"/>
    <w:rsid w:val="00490DD7"/>
    <w:rsid w:val="00491216"/>
    <w:rsid w:val="00491C8C"/>
    <w:rsid w:val="00491F1A"/>
    <w:rsid w:val="00491F59"/>
    <w:rsid w:val="004920AD"/>
    <w:rsid w:val="00493621"/>
    <w:rsid w:val="00493DB8"/>
    <w:rsid w:val="004948C9"/>
    <w:rsid w:val="004950F2"/>
    <w:rsid w:val="00495335"/>
    <w:rsid w:val="0049658B"/>
    <w:rsid w:val="00496F29"/>
    <w:rsid w:val="00496F30"/>
    <w:rsid w:val="004A0012"/>
    <w:rsid w:val="004A030A"/>
    <w:rsid w:val="004A18EA"/>
    <w:rsid w:val="004A29D0"/>
    <w:rsid w:val="004A29DE"/>
    <w:rsid w:val="004A2B75"/>
    <w:rsid w:val="004A2D31"/>
    <w:rsid w:val="004A3371"/>
    <w:rsid w:val="004A3E48"/>
    <w:rsid w:val="004A4201"/>
    <w:rsid w:val="004A446A"/>
    <w:rsid w:val="004A468F"/>
    <w:rsid w:val="004A48C3"/>
    <w:rsid w:val="004A623C"/>
    <w:rsid w:val="004A6292"/>
    <w:rsid w:val="004A7FB5"/>
    <w:rsid w:val="004B058D"/>
    <w:rsid w:val="004B0631"/>
    <w:rsid w:val="004B2B91"/>
    <w:rsid w:val="004B3B9E"/>
    <w:rsid w:val="004B3E9D"/>
    <w:rsid w:val="004B4235"/>
    <w:rsid w:val="004B4342"/>
    <w:rsid w:val="004B440A"/>
    <w:rsid w:val="004B4A70"/>
    <w:rsid w:val="004B50B2"/>
    <w:rsid w:val="004B562C"/>
    <w:rsid w:val="004B5C33"/>
    <w:rsid w:val="004B6062"/>
    <w:rsid w:val="004B656B"/>
    <w:rsid w:val="004B69B9"/>
    <w:rsid w:val="004B6E8D"/>
    <w:rsid w:val="004B70B4"/>
    <w:rsid w:val="004B79D3"/>
    <w:rsid w:val="004B7EAC"/>
    <w:rsid w:val="004C0BBD"/>
    <w:rsid w:val="004C0D1D"/>
    <w:rsid w:val="004C109D"/>
    <w:rsid w:val="004C2C03"/>
    <w:rsid w:val="004C36E7"/>
    <w:rsid w:val="004C425F"/>
    <w:rsid w:val="004C44B6"/>
    <w:rsid w:val="004C47D7"/>
    <w:rsid w:val="004C5719"/>
    <w:rsid w:val="004C59CD"/>
    <w:rsid w:val="004C5DB6"/>
    <w:rsid w:val="004C5E59"/>
    <w:rsid w:val="004C652E"/>
    <w:rsid w:val="004C65B4"/>
    <w:rsid w:val="004C6A42"/>
    <w:rsid w:val="004C6FFE"/>
    <w:rsid w:val="004C70EA"/>
    <w:rsid w:val="004C74B3"/>
    <w:rsid w:val="004C761F"/>
    <w:rsid w:val="004C7AA9"/>
    <w:rsid w:val="004C7BD0"/>
    <w:rsid w:val="004C7DA1"/>
    <w:rsid w:val="004D0242"/>
    <w:rsid w:val="004D14AC"/>
    <w:rsid w:val="004D227B"/>
    <w:rsid w:val="004D2603"/>
    <w:rsid w:val="004D408F"/>
    <w:rsid w:val="004D4B5F"/>
    <w:rsid w:val="004D582D"/>
    <w:rsid w:val="004D5CB1"/>
    <w:rsid w:val="004D62BF"/>
    <w:rsid w:val="004D6A34"/>
    <w:rsid w:val="004D7DC5"/>
    <w:rsid w:val="004E0F8C"/>
    <w:rsid w:val="004E209E"/>
    <w:rsid w:val="004E26A6"/>
    <w:rsid w:val="004E3E5C"/>
    <w:rsid w:val="004E5047"/>
    <w:rsid w:val="004E63EF"/>
    <w:rsid w:val="004E66FF"/>
    <w:rsid w:val="004F02B5"/>
    <w:rsid w:val="004F0DD7"/>
    <w:rsid w:val="004F1785"/>
    <w:rsid w:val="004F1BEA"/>
    <w:rsid w:val="004F2175"/>
    <w:rsid w:val="004F27FE"/>
    <w:rsid w:val="004F4A43"/>
    <w:rsid w:val="004F5421"/>
    <w:rsid w:val="004F60AB"/>
    <w:rsid w:val="004F62FA"/>
    <w:rsid w:val="004F663C"/>
    <w:rsid w:val="004F6833"/>
    <w:rsid w:val="004F6C3E"/>
    <w:rsid w:val="004F701A"/>
    <w:rsid w:val="004F7B46"/>
    <w:rsid w:val="005005BF"/>
    <w:rsid w:val="00500ABF"/>
    <w:rsid w:val="00501367"/>
    <w:rsid w:val="005014C4"/>
    <w:rsid w:val="00501711"/>
    <w:rsid w:val="005055A8"/>
    <w:rsid w:val="005057AD"/>
    <w:rsid w:val="00506098"/>
    <w:rsid w:val="00506276"/>
    <w:rsid w:val="00507B8C"/>
    <w:rsid w:val="00510041"/>
    <w:rsid w:val="005115D5"/>
    <w:rsid w:val="00511670"/>
    <w:rsid w:val="00511CBB"/>
    <w:rsid w:val="0051223D"/>
    <w:rsid w:val="00512622"/>
    <w:rsid w:val="00512CBC"/>
    <w:rsid w:val="00512FE6"/>
    <w:rsid w:val="005132AF"/>
    <w:rsid w:val="00514680"/>
    <w:rsid w:val="00514BAB"/>
    <w:rsid w:val="005158D3"/>
    <w:rsid w:val="00515DF3"/>
    <w:rsid w:val="00515EDE"/>
    <w:rsid w:val="00515FF5"/>
    <w:rsid w:val="00516724"/>
    <w:rsid w:val="00516AE9"/>
    <w:rsid w:val="00516E46"/>
    <w:rsid w:val="00517B7F"/>
    <w:rsid w:val="00517D13"/>
    <w:rsid w:val="0052036B"/>
    <w:rsid w:val="00520697"/>
    <w:rsid w:val="0052206C"/>
    <w:rsid w:val="00522605"/>
    <w:rsid w:val="0052264F"/>
    <w:rsid w:val="00522FC4"/>
    <w:rsid w:val="00523327"/>
    <w:rsid w:val="005234DA"/>
    <w:rsid w:val="00523A85"/>
    <w:rsid w:val="00524192"/>
    <w:rsid w:val="005243FB"/>
    <w:rsid w:val="005251E8"/>
    <w:rsid w:val="00525B58"/>
    <w:rsid w:val="00525E41"/>
    <w:rsid w:val="00525F2B"/>
    <w:rsid w:val="005265E2"/>
    <w:rsid w:val="005267D3"/>
    <w:rsid w:val="005267DF"/>
    <w:rsid w:val="00526EE1"/>
    <w:rsid w:val="00527571"/>
    <w:rsid w:val="0053023F"/>
    <w:rsid w:val="00530892"/>
    <w:rsid w:val="005312EA"/>
    <w:rsid w:val="0053194C"/>
    <w:rsid w:val="00531E0E"/>
    <w:rsid w:val="00532254"/>
    <w:rsid w:val="00534F50"/>
    <w:rsid w:val="00535058"/>
    <w:rsid w:val="005357A4"/>
    <w:rsid w:val="00535F14"/>
    <w:rsid w:val="00535FD7"/>
    <w:rsid w:val="0053644C"/>
    <w:rsid w:val="005371DE"/>
    <w:rsid w:val="005378FE"/>
    <w:rsid w:val="0053790C"/>
    <w:rsid w:val="005406A3"/>
    <w:rsid w:val="00540856"/>
    <w:rsid w:val="00540F73"/>
    <w:rsid w:val="00541214"/>
    <w:rsid w:val="005413F0"/>
    <w:rsid w:val="00541A8F"/>
    <w:rsid w:val="00541FAC"/>
    <w:rsid w:val="005421A5"/>
    <w:rsid w:val="0054364A"/>
    <w:rsid w:val="0054389C"/>
    <w:rsid w:val="005444A5"/>
    <w:rsid w:val="005452E3"/>
    <w:rsid w:val="0054580B"/>
    <w:rsid w:val="005461A0"/>
    <w:rsid w:val="00546D14"/>
    <w:rsid w:val="0054715C"/>
    <w:rsid w:val="00547640"/>
    <w:rsid w:val="00547B67"/>
    <w:rsid w:val="005505EC"/>
    <w:rsid w:val="00550FD9"/>
    <w:rsid w:val="005514C3"/>
    <w:rsid w:val="005518BE"/>
    <w:rsid w:val="00551D62"/>
    <w:rsid w:val="00551F3C"/>
    <w:rsid w:val="0055236A"/>
    <w:rsid w:val="005529D3"/>
    <w:rsid w:val="00552AE5"/>
    <w:rsid w:val="00552C78"/>
    <w:rsid w:val="00553E9A"/>
    <w:rsid w:val="00553EED"/>
    <w:rsid w:val="0055447E"/>
    <w:rsid w:val="00554A1F"/>
    <w:rsid w:val="0055538C"/>
    <w:rsid w:val="005566C9"/>
    <w:rsid w:val="00556DF9"/>
    <w:rsid w:val="00557899"/>
    <w:rsid w:val="00561B42"/>
    <w:rsid w:val="00561B5F"/>
    <w:rsid w:val="0056226D"/>
    <w:rsid w:val="00562AE3"/>
    <w:rsid w:val="00563579"/>
    <w:rsid w:val="0056371D"/>
    <w:rsid w:val="00563FF3"/>
    <w:rsid w:val="0056438D"/>
    <w:rsid w:val="0056485B"/>
    <w:rsid w:val="0056515F"/>
    <w:rsid w:val="005655EF"/>
    <w:rsid w:val="00565E46"/>
    <w:rsid w:val="005661CB"/>
    <w:rsid w:val="005662A0"/>
    <w:rsid w:val="005663C4"/>
    <w:rsid w:val="00566613"/>
    <w:rsid w:val="0056764F"/>
    <w:rsid w:val="00567813"/>
    <w:rsid w:val="00570699"/>
    <w:rsid w:val="00570A2C"/>
    <w:rsid w:val="00572C24"/>
    <w:rsid w:val="00573204"/>
    <w:rsid w:val="00573211"/>
    <w:rsid w:val="00573669"/>
    <w:rsid w:val="005736D9"/>
    <w:rsid w:val="0057481B"/>
    <w:rsid w:val="00574848"/>
    <w:rsid w:val="00574D76"/>
    <w:rsid w:val="00575BE1"/>
    <w:rsid w:val="00575C25"/>
    <w:rsid w:val="005761EB"/>
    <w:rsid w:val="005765BC"/>
    <w:rsid w:val="005769DC"/>
    <w:rsid w:val="00577F8F"/>
    <w:rsid w:val="00580414"/>
    <w:rsid w:val="005807D0"/>
    <w:rsid w:val="0058279C"/>
    <w:rsid w:val="005830BB"/>
    <w:rsid w:val="0058462C"/>
    <w:rsid w:val="0058541B"/>
    <w:rsid w:val="00585545"/>
    <w:rsid w:val="0058561B"/>
    <w:rsid w:val="00585D82"/>
    <w:rsid w:val="00585EB5"/>
    <w:rsid w:val="005867D4"/>
    <w:rsid w:val="0058688D"/>
    <w:rsid w:val="00586B4B"/>
    <w:rsid w:val="00590DDE"/>
    <w:rsid w:val="00590DFD"/>
    <w:rsid w:val="0059410B"/>
    <w:rsid w:val="005950A6"/>
    <w:rsid w:val="00595835"/>
    <w:rsid w:val="00595E9F"/>
    <w:rsid w:val="00596843"/>
    <w:rsid w:val="00596914"/>
    <w:rsid w:val="0059699F"/>
    <w:rsid w:val="00596B3C"/>
    <w:rsid w:val="005979A2"/>
    <w:rsid w:val="005A103A"/>
    <w:rsid w:val="005A14EC"/>
    <w:rsid w:val="005A152B"/>
    <w:rsid w:val="005A1DC2"/>
    <w:rsid w:val="005A3840"/>
    <w:rsid w:val="005A407A"/>
    <w:rsid w:val="005A4D00"/>
    <w:rsid w:val="005A50AC"/>
    <w:rsid w:val="005A53AF"/>
    <w:rsid w:val="005A56F0"/>
    <w:rsid w:val="005A5FA2"/>
    <w:rsid w:val="005A6152"/>
    <w:rsid w:val="005A63CB"/>
    <w:rsid w:val="005A6F69"/>
    <w:rsid w:val="005A77DF"/>
    <w:rsid w:val="005B0A20"/>
    <w:rsid w:val="005B0E11"/>
    <w:rsid w:val="005B157E"/>
    <w:rsid w:val="005B1A0D"/>
    <w:rsid w:val="005B210A"/>
    <w:rsid w:val="005B21D2"/>
    <w:rsid w:val="005B45FE"/>
    <w:rsid w:val="005B47CC"/>
    <w:rsid w:val="005B53B3"/>
    <w:rsid w:val="005B540F"/>
    <w:rsid w:val="005B554A"/>
    <w:rsid w:val="005B7C83"/>
    <w:rsid w:val="005B7F05"/>
    <w:rsid w:val="005C0E01"/>
    <w:rsid w:val="005C1974"/>
    <w:rsid w:val="005C205C"/>
    <w:rsid w:val="005C2190"/>
    <w:rsid w:val="005C28D3"/>
    <w:rsid w:val="005C2AD1"/>
    <w:rsid w:val="005C2F4C"/>
    <w:rsid w:val="005C3376"/>
    <w:rsid w:val="005C3729"/>
    <w:rsid w:val="005C394D"/>
    <w:rsid w:val="005C5649"/>
    <w:rsid w:val="005C5CDF"/>
    <w:rsid w:val="005C61B6"/>
    <w:rsid w:val="005C655B"/>
    <w:rsid w:val="005C6A75"/>
    <w:rsid w:val="005C6D48"/>
    <w:rsid w:val="005C6EE9"/>
    <w:rsid w:val="005C740C"/>
    <w:rsid w:val="005C781C"/>
    <w:rsid w:val="005C7CA8"/>
    <w:rsid w:val="005D0542"/>
    <w:rsid w:val="005D1301"/>
    <w:rsid w:val="005D27D1"/>
    <w:rsid w:val="005D35ED"/>
    <w:rsid w:val="005D3DF3"/>
    <w:rsid w:val="005D5145"/>
    <w:rsid w:val="005D738A"/>
    <w:rsid w:val="005E054A"/>
    <w:rsid w:val="005E0631"/>
    <w:rsid w:val="005E064B"/>
    <w:rsid w:val="005E095A"/>
    <w:rsid w:val="005E24DE"/>
    <w:rsid w:val="005E2885"/>
    <w:rsid w:val="005E3C8B"/>
    <w:rsid w:val="005E4726"/>
    <w:rsid w:val="005E4A7B"/>
    <w:rsid w:val="005E5E1A"/>
    <w:rsid w:val="005E5F69"/>
    <w:rsid w:val="005E69F9"/>
    <w:rsid w:val="005E6E57"/>
    <w:rsid w:val="005E70E7"/>
    <w:rsid w:val="005E721E"/>
    <w:rsid w:val="005E77F6"/>
    <w:rsid w:val="005F08E5"/>
    <w:rsid w:val="005F0FE6"/>
    <w:rsid w:val="005F1593"/>
    <w:rsid w:val="005F2194"/>
    <w:rsid w:val="005F236B"/>
    <w:rsid w:val="005F3899"/>
    <w:rsid w:val="005F3E57"/>
    <w:rsid w:val="005F41EE"/>
    <w:rsid w:val="005F4642"/>
    <w:rsid w:val="005F4CBE"/>
    <w:rsid w:val="005F4CCA"/>
    <w:rsid w:val="005F5D33"/>
    <w:rsid w:val="005F6496"/>
    <w:rsid w:val="005F7FF6"/>
    <w:rsid w:val="0060009F"/>
    <w:rsid w:val="00600DE6"/>
    <w:rsid w:val="006020BD"/>
    <w:rsid w:val="0060316C"/>
    <w:rsid w:val="006060A2"/>
    <w:rsid w:val="006060C0"/>
    <w:rsid w:val="00607AA8"/>
    <w:rsid w:val="00607C8C"/>
    <w:rsid w:val="00607F57"/>
    <w:rsid w:val="00607F8B"/>
    <w:rsid w:val="006102F7"/>
    <w:rsid w:val="006104AD"/>
    <w:rsid w:val="00611021"/>
    <w:rsid w:val="006110AE"/>
    <w:rsid w:val="006135A1"/>
    <w:rsid w:val="00613F96"/>
    <w:rsid w:val="006140D4"/>
    <w:rsid w:val="00614379"/>
    <w:rsid w:val="00614627"/>
    <w:rsid w:val="006156E5"/>
    <w:rsid w:val="00616C50"/>
    <w:rsid w:val="006176FB"/>
    <w:rsid w:val="006201CE"/>
    <w:rsid w:val="006220CF"/>
    <w:rsid w:val="00622E58"/>
    <w:rsid w:val="00622E6A"/>
    <w:rsid w:val="00622E8F"/>
    <w:rsid w:val="00624504"/>
    <w:rsid w:val="006272DA"/>
    <w:rsid w:val="00630DBC"/>
    <w:rsid w:val="006310E0"/>
    <w:rsid w:val="00631E52"/>
    <w:rsid w:val="0063295E"/>
    <w:rsid w:val="00632CB3"/>
    <w:rsid w:val="006337C9"/>
    <w:rsid w:val="006338E9"/>
    <w:rsid w:val="00633AD8"/>
    <w:rsid w:val="006343D2"/>
    <w:rsid w:val="006346F9"/>
    <w:rsid w:val="00634881"/>
    <w:rsid w:val="00635CFE"/>
    <w:rsid w:val="00637D50"/>
    <w:rsid w:val="0064006B"/>
    <w:rsid w:val="00640C66"/>
    <w:rsid w:val="00641DE3"/>
    <w:rsid w:val="00641DE6"/>
    <w:rsid w:val="0064277C"/>
    <w:rsid w:val="00642EDC"/>
    <w:rsid w:val="00642F39"/>
    <w:rsid w:val="0064310C"/>
    <w:rsid w:val="00643C07"/>
    <w:rsid w:val="00643E78"/>
    <w:rsid w:val="00643F36"/>
    <w:rsid w:val="00643FA0"/>
    <w:rsid w:val="00645B0E"/>
    <w:rsid w:val="00646444"/>
    <w:rsid w:val="006464AD"/>
    <w:rsid w:val="00646916"/>
    <w:rsid w:val="00646BF2"/>
    <w:rsid w:val="00647509"/>
    <w:rsid w:val="0064791A"/>
    <w:rsid w:val="00647E69"/>
    <w:rsid w:val="0064937A"/>
    <w:rsid w:val="006510C8"/>
    <w:rsid w:val="00651B01"/>
    <w:rsid w:val="00652707"/>
    <w:rsid w:val="0065389E"/>
    <w:rsid w:val="00653E52"/>
    <w:rsid w:val="00653E81"/>
    <w:rsid w:val="00654755"/>
    <w:rsid w:val="00654E28"/>
    <w:rsid w:val="00655DAE"/>
    <w:rsid w:val="00655EE1"/>
    <w:rsid w:val="006560A4"/>
    <w:rsid w:val="00656A70"/>
    <w:rsid w:val="00656FC2"/>
    <w:rsid w:val="00657714"/>
    <w:rsid w:val="00657C98"/>
    <w:rsid w:val="00657F85"/>
    <w:rsid w:val="0066095C"/>
    <w:rsid w:val="00661B5B"/>
    <w:rsid w:val="00662A67"/>
    <w:rsid w:val="00662CF7"/>
    <w:rsid w:val="00663353"/>
    <w:rsid w:val="006637DD"/>
    <w:rsid w:val="0066441D"/>
    <w:rsid w:val="0066443B"/>
    <w:rsid w:val="00664D45"/>
    <w:rsid w:val="006652C1"/>
    <w:rsid w:val="00665F6C"/>
    <w:rsid w:val="00666830"/>
    <w:rsid w:val="00667BC9"/>
    <w:rsid w:val="00670537"/>
    <w:rsid w:val="006705D6"/>
    <w:rsid w:val="0067218A"/>
    <w:rsid w:val="00672FD8"/>
    <w:rsid w:val="006730B7"/>
    <w:rsid w:val="00673271"/>
    <w:rsid w:val="0067375E"/>
    <w:rsid w:val="00674AE9"/>
    <w:rsid w:val="00674CB7"/>
    <w:rsid w:val="006760EE"/>
    <w:rsid w:val="006764D9"/>
    <w:rsid w:val="00677869"/>
    <w:rsid w:val="00677E95"/>
    <w:rsid w:val="006806A8"/>
    <w:rsid w:val="006816D5"/>
    <w:rsid w:val="00681F2E"/>
    <w:rsid w:val="0068234C"/>
    <w:rsid w:val="00682668"/>
    <w:rsid w:val="00682B9C"/>
    <w:rsid w:val="00682E04"/>
    <w:rsid w:val="0068323D"/>
    <w:rsid w:val="00683386"/>
    <w:rsid w:val="006833E3"/>
    <w:rsid w:val="006834C6"/>
    <w:rsid w:val="00685DB7"/>
    <w:rsid w:val="00686100"/>
    <w:rsid w:val="00686CA1"/>
    <w:rsid w:val="00687C83"/>
    <w:rsid w:val="0069052E"/>
    <w:rsid w:val="006907E7"/>
    <w:rsid w:val="00690A45"/>
    <w:rsid w:val="00690ACB"/>
    <w:rsid w:val="00690FDB"/>
    <w:rsid w:val="00691716"/>
    <w:rsid w:val="00691CF0"/>
    <w:rsid w:val="006927E7"/>
    <w:rsid w:val="00693761"/>
    <w:rsid w:val="0069396D"/>
    <w:rsid w:val="00693981"/>
    <w:rsid w:val="0069437B"/>
    <w:rsid w:val="00694655"/>
    <w:rsid w:val="0069506D"/>
    <w:rsid w:val="006951AF"/>
    <w:rsid w:val="00695CF6"/>
    <w:rsid w:val="0069622C"/>
    <w:rsid w:val="00696884"/>
    <w:rsid w:val="0069751F"/>
    <w:rsid w:val="006979D5"/>
    <w:rsid w:val="006A128B"/>
    <w:rsid w:val="006A21B8"/>
    <w:rsid w:val="006A59C1"/>
    <w:rsid w:val="006A692C"/>
    <w:rsid w:val="006A69D3"/>
    <w:rsid w:val="006A6D74"/>
    <w:rsid w:val="006A7ADA"/>
    <w:rsid w:val="006B00E1"/>
    <w:rsid w:val="006B23FB"/>
    <w:rsid w:val="006B2610"/>
    <w:rsid w:val="006B285C"/>
    <w:rsid w:val="006B2BB3"/>
    <w:rsid w:val="006B4022"/>
    <w:rsid w:val="006B463B"/>
    <w:rsid w:val="006B4C68"/>
    <w:rsid w:val="006B502A"/>
    <w:rsid w:val="006B56EB"/>
    <w:rsid w:val="006B61DF"/>
    <w:rsid w:val="006B64F7"/>
    <w:rsid w:val="006B701D"/>
    <w:rsid w:val="006B7939"/>
    <w:rsid w:val="006C06C9"/>
    <w:rsid w:val="006C0A4C"/>
    <w:rsid w:val="006C1942"/>
    <w:rsid w:val="006C1C4F"/>
    <w:rsid w:val="006C2037"/>
    <w:rsid w:val="006C259D"/>
    <w:rsid w:val="006C28B5"/>
    <w:rsid w:val="006C2DB0"/>
    <w:rsid w:val="006C2DB6"/>
    <w:rsid w:val="006C47AF"/>
    <w:rsid w:val="006C4B63"/>
    <w:rsid w:val="006C553E"/>
    <w:rsid w:val="006C5E1B"/>
    <w:rsid w:val="006C6242"/>
    <w:rsid w:val="006C677A"/>
    <w:rsid w:val="006C6FC9"/>
    <w:rsid w:val="006C710C"/>
    <w:rsid w:val="006C74F1"/>
    <w:rsid w:val="006C77D4"/>
    <w:rsid w:val="006D0E08"/>
    <w:rsid w:val="006D1D77"/>
    <w:rsid w:val="006D1FE2"/>
    <w:rsid w:val="006D2150"/>
    <w:rsid w:val="006D2CB6"/>
    <w:rsid w:val="006D2EC8"/>
    <w:rsid w:val="006D3701"/>
    <w:rsid w:val="006D3A1F"/>
    <w:rsid w:val="006D415B"/>
    <w:rsid w:val="006D4203"/>
    <w:rsid w:val="006D44FB"/>
    <w:rsid w:val="006D688C"/>
    <w:rsid w:val="006D68D9"/>
    <w:rsid w:val="006D7646"/>
    <w:rsid w:val="006E00BA"/>
    <w:rsid w:val="006E03D2"/>
    <w:rsid w:val="006E30D3"/>
    <w:rsid w:val="006E3420"/>
    <w:rsid w:val="006E4AD6"/>
    <w:rsid w:val="006E60E9"/>
    <w:rsid w:val="006E7227"/>
    <w:rsid w:val="006F10F7"/>
    <w:rsid w:val="006F1E38"/>
    <w:rsid w:val="006F273F"/>
    <w:rsid w:val="006F29AB"/>
    <w:rsid w:val="006F2A27"/>
    <w:rsid w:val="006F32D1"/>
    <w:rsid w:val="006F454A"/>
    <w:rsid w:val="006F4660"/>
    <w:rsid w:val="006F5477"/>
    <w:rsid w:val="006F557A"/>
    <w:rsid w:val="006F5709"/>
    <w:rsid w:val="006F59B5"/>
    <w:rsid w:val="006F6A86"/>
    <w:rsid w:val="006F750E"/>
    <w:rsid w:val="00700376"/>
    <w:rsid w:val="0070057F"/>
    <w:rsid w:val="0070090D"/>
    <w:rsid w:val="00700AFA"/>
    <w:rsid w:val="00701B4E"/>
    <w:rsid w:val="007031EB"/>
    <w:rsid w:val="00704B70"/>
    <w:rsid w:val="00705365"/>
    <w:rsid w:val="00705BDE"/>
    <w:rsid w:val="00706118"/>
    <w:rsid w:val="00707217"/>
    <w:rsid w:val="007077FA"/>
    <w:rsid w:val="0070785A"/>
    <w:rsid w:val="00710220"/>
    <w:rsid w:val="00711350"/>
    <w:rsid w:val="0071246E"/>
    <w:rsid w:val="0071320E"/>
    <w:rsid w:val="00713829"/>
    <w:rsid w:val="00714092"/>
    <w:rsid w:val="0071444C"/>
    <w:rsid w:val="00714D6F"/>
    <w:rsid w:val="00715394"/>
    <w:rsid w:val="00716CE2"/>
    <w:rsid w:val="00717866"/>
    <w:rsid w:val="007204A0"/>
    <w:rsid w:val="007209F3"/>
    <w:rsid w:val="00720A8F"/>
    <w:rsid w:val="00721533"/>
    <w:rsid w:val="0072251D"/>
    <w:rsid w:val="00722831"/>
    <w:rsid w:val="00723B0A"/>
    <w:rsid w:val="007248E3"/>
    <w:rsid w:val="00724EE5"/>
    <w:rsid w:val="0072530B"/>
    <w:rsid w:val="00727301"/>
    <w:rsid w:val="0072748F"/>
    <w:rsid w:val="00727521"/>
    <w:rsid w:val="00727639"/>
    <w:rsid w:val="00727991"/>
    <w:rsid w:val="00730EBC"/>
    <w:rsid w:val="00731F42"/>
    <w:rsid w:val="00732726"/>
    <w:rsid w:val="0073390D"/>
    <w:rsid w:val="007340B4"/>
    <w:rsid w:val="007347EE"/>
    <w:rsid w:val="007348A0"/>
    <w:rsid w:val="00734AD1"/>
    <w:rsid w:val="0073620B"/>
    <w:rsid w:val="007366B0"/>
    <w:rsid w:val="007367BD"/>
    <w:rsid w:val="00736BA1"/>
    <w:rsid w:val="00736D14"/>
    <w:rsid w:val="007370FA"/>
    <w:rsid w:val="00737E7A"/>
    <w:rsid w:val="0074011D"/>
    <w:rsid w:val="00741CCA"/>
    <w:rsid w:val="00742061"/>
    <w:rsid w:val="00742A7E"/>
    <w:rsid w:val="007433A6"/>
    <w:rsid w:val="00743DD1"/>
    <w:rsid w:val="007441AB"/>
    <w:rsid w:val="00744653"/>
    <w:rsid w:val="00744EA3"/>
    <w:rsid w:val="0074566D"/>
    <w:rsid w:val="00746D8B"/>
    <w:rsid w:val="00746EBD"/>
    <w:rsid w:val="00746EF6"/>
    <w:rsid w:val="00750D69"/>
    <w:rsid w:val="00751E12"/>
    <w:rsid w:val="00752056"/>
    <w:rsid w:val="00752335"/>
    <w:rsid w:val="007527E7"/>
    <w:rsid w:val="00753364"/>
    <w:rsid w:val="00753588"/>
    <w:rsid w:val="007540EC"/>
    <w:rsid w:val="00754A18"/>
    <w:rsid w:val="00754FA0"/>
    <w:rsid w:val="007562E8"/>
    <w:rsid w:val="0075688A"/>
    <w:rsid w:val="007600B5"/>
    <w:rsid w:val="0076051D"/>
    <w:rsid w:val="00760F0F"/>
    <w:rsid w:val="00761DD4"/>
    <w:rsid w:val="007644CF"/>
    <w:rsid w:val="007648D7"/>
    <w:rsid w:val="00764DD6"/>
    <w:rsid w:val="00764E9B"/>
    <w:rsid w:val="00765735"/>
    <w:rsid w:val="00765C09"/>
    <w:rsid w:val="00766567"/>
    <w:rsid w:val="00766786"/>
    <w:rsid w:val="007675FB"/>
    <w:rsid w:val="00767F43"/>
    <w:rsid w:val="0077052D"/>
    <w:rsid w:val="0077058E"/>
    <w:rsid w:val="00771DCF"/>
    <w:rsid w:val="007723D8"/>
    <w:rsid w:val="00773431"/>
    <w:rsid w:val="007738F6"/>
    <w:rsid w:val="00774010"/>
    <w:rsid w:val="00780341"/>
    <w:rsid w:val="00780CDF"/>
    <w:rsid w:val="007818F0"/>
    <w:rsid w:val="00781BBF"/>
    <w:rsid w:val="0078249C"/>
    <w:rsid w:val="00782655"/>
    <w:rsid w:val="00782728"/>
    <w:rsid w:val="00782C3E"/>
    <w:rsid w:val="00782D49"/>
    <w:rsid w:val="00785AE7"/>
    <w:rsid w:val="00786681"/>
    <w:rsid w:val="007878E5"/>
    <w:rsid w:val="0079077A"/>
    <w:rsid w:val="00791D65"/>
    <w:rsid w:val="007922CA"/>
    <w:rsid w:val="00792DDA"/>
    <w:rsid w:val="007933FB"/>
    <w:rsid w:val="00793EFD"/>
    <w:rsid w:val="00794A60"/>
    <w:rsid w:val="00794B87"/>
    <w:rsid w:val="007957C1"/>
    <w:rsid w:val="007958AF"/>
    <w:rsid w:val="00796815"/>
    <w:rsid w:val="007969B9"/>
    <w:rsid w:val="00796C41"/>
    <w:rsid w:val="00796DFA"/>
    <w:rsid w:val="0079712A"/>
    <w:rsid w:val="00797E20"/>
    <w:rsid w:val="007A0735"/>
    <w:rsid w:val="007A09A4"/>
    <w:rsid w:val="007A0B07"/>
    <w:rsid w:val="007A0FBC"/>
    <w:rsid w:val="007A12AC"/>
    <w:rsid w:val="007A1B16"/>
    <w:rsid w:val="007A2328"/>
    <w:rsid w:val="007A2952"/>
    <w:rsid w:val="007A2F40"/>
    <w:rsid w:val="007A34AF"/>
    <w:rsid w:val="007A44C0"/>
    <w:rsid w:val="007A4686"/>
    <w:rsid w:val="007A4E82"/>
    <w:rsid w:val="007A536E"/>
    <w:rsid w:val="007A5C5D"/>
    <w:rsid w:val="007A6790"/>
    <w:rsid w:val="007A71BA"/>
    <w:rsid w:val="007A72FA"/>
    <w:rsid w:val="007A7540"/>
    <w:rsid w:val="007A7F52"/>
    <w:rsid w:val="007B00E8"/>
    <w:rsid w:val="007B0916"/>
    <w:rsid w:val="007B1E34"/>
    <w:rsid w:val="007B1E94"/>
    <w:rsid w:val="007B3AEF"/>
    <w:rsid w:val="007B3DC3"/>
    <w:rsid w:val="007B56B6"/>
    <w:rsid w:val="007B5795"/>
    <w:rsid w:val="007B6B1E"/>
    <w:rsid w:val="007B77B8"/>
    <w:rsid w:val="007B7B14"/>
    <w:rsid w:val="007B7B79"/>
    <w:rsid w:val="007B7FB1"/>
    <w:rsid w:val="007C0406"/>
    <w:rsid w:val="007C0E6A"/>
    <w:rsid w:val="007C0EE4"/>
    <w:rsid w:val="007C101D"/>
    <w:rsid w:val="007C10F2"/>
    <w:rsid w:val="007C1456"/>
    <w:rsid w:val="007C149F"/>
    <w:rsid w:val="007C2033"/>
    <w:rsid w:val="007C2126"/>
    <w:rsid w:val="007C2C8B"/>
    <w:rsid w:val="007C311B"/>
    <w:rsid w:val="007C321C"/>
    <w:rsid w:val="007C32AA"/>
    <w:rsid w:val="007C4B83"/>
    <w:rsid w:val="007C4C2C"/>
    <w:rsid w:val="007C4FB6"/>
    <w:rsid w:val="007C6743"/>
    <w:rsid w:val="007C69E1"/>
    <w:rsid w:val="007C739E"/>
    <w:rsid w:val="007D0C5A"/>
    <w:rsid w:val="007D1B9F"/>
    <w:rsid w:val="007D1D8E"/>
    <w:rsid w:val="007D27D2"/>
    <w:rsid w:val="007D2CCE"/>
    <w:rsid w:val="007D3EFB"/>
    <w:rsid w:val="007D564C"/>
    <w:rsid w:val="007D593D"/>
    <w:rsid w:val="007D5988"/>
    <w:rsid w:val="007D6695"/>
    <w:rsid w:val="007D7D32"/>
    <w:rsid w:val="007E0761"/>
    <w:rsid w:val="007E0807"/>
    <w:rsid w:val="007E0CC8"/>
    <w:rsid w:val="007E10CB"/>
    <w:rsid w:val="007E1684"/>
    <w:rsid w:val="007E2367"/>
    <w:rsid w:val="007E26AC"/>
    <w:rsid w:val="007E2A48"/>
    <w:rsid w:val="007E3248"/>
    <w:rsid w:val="007E3A6C"/>
    <w:rsid w:val="007E3EE2"/>
    <w:rsid w:val="007E4E85"/>
    <w:rsid w:val="007E552B"/>
    <w:rsid w:val="007E5837"/>
    <w:rsid w:val="007E630C"/>
    <w:rsid w:val="007E678F"/>
    <w:rsid w:val="007E753D"/>
    <w:rsid w:val="007F05DA"/>
    <w:rsid w:val="007F0B75"/>
    <w:rsid w:val="007F1960"/>
    <w:rsid w:val="007F1F21"/>
    <w:rsid w:val="007F20FA"/>
    <w:rsid w:val="007F2167"/>
    <w:rsid w:val="007F2A39"/>
    <w:rsid w:val="007F30CC"/>
    <w:rsid w:val="007F32A7"/>
    <w:rsid w:val="007F4072"/>
    <w:rsid w:val="007F4EC7"/>
    <w:rsid w:val="007F5024"/>
    <w:rsid w:val="007F5FF4"/>
    <w:rsid w:val="007F67E4"/>
    <w:rsid w:val="007F6FCF"/>
    <w:rsid w:val="007F7C18"/>
    <w:rsid w:val="00800189"/>
    <w:rsid w:val="0080073C"/>
    <w:rsid w:val="008010DB"/>
    <w:rsid w:val="00801379"/>
    <w:rsid w:val="00801584"/>
    <w:rsid w:val="0080213F"/>
    <w:rsid w:val="0080218C"/>
    <w:rsid w:val="008023E1"/>
    <w:rsid w:val="00802B50"/>
    <w:rsid w:val="008032F2"/>
    <w:rsid w:val="008036B2"/>
    <w:rsid w:val="00803C1B"/>
    <w:rsid w:val="00804B15"/>
    <w:rsid w:val="008060C5"/>
    <w:rsid w:val="00806ECE"/>
    <w:rsid w:val="00806F91"/>
    <w:rsid w:val="00807990"/>
    <w:rsid w:val="0081037A"/>
    <w:rsid w:val="00810D8C"/>
    <w:rsid w:val="00810FBF"/>
    <w:rsid w:val="008111E0"/>
    <w:rsid w:val="0081208C"/>
    <w:rsid w:val="008134E2"/>
    <w:rsid w:val="00813969"/>
    <w:rsid w:val="00813AE1"/>
    <w:rsid w:val="00813DAE"/>
    <w:rsid w:val="00813F9F"/>
    <w:rsid w:val="00815452"/>
    <w:rsid w:val="008162FE"/>
    <w:rsid w:val="0081784E"/>
    <w:rsid w:val="00821666"/>
    <w:rsid w:val="00822011"/>
    <w:rsid w:val="00823482"/>
    <w:rsid w:val="00823671"/>
    <w:rsid w:val="0082440D"/>
    <w:rsid w:val="00824473"/>
    <w:rsid w:val="0082501F"/>
    <w:rsid w:val="00825297"/>
    <w:rsid w:val="0082748A"/>
    <w:rsid w:val="0082761B"/>
    <w:rsid w:val="0083016A"/>
    <w:rsid w:val="00832593"/>
    <w:rsid w:val="00833507"/>
    <w:rsid w:val="00833A14"/>
    <w:rsid w:val="00833C85"/>
    <w:rsid w:val="00833E32"/>
    <w:rsid w:val="00834134"/>
    <w:rsid w:val="00834C17"/>
    <w:rsid w:val="00835754"/>
    <w:rsid w:val="008369F7"/>
    <w:rsid w:val="00836AAD"/>
    <w:rsid w:val="00837547"/>
    <w:rsid w:val="00841D15"/>
    <w:rsid w:val="00842C4C"/>
    <w:rsid w:val="008435BA"/>
    <w:rsid w:val="0084499E"/>
    <w:rsid w:val="00844AF8"/>
    <w:rsid w:val="00844B09"/>
    <w:rsid w:val="00845DD7"/>
    <w:rsid w:val="00846C99"/>
    <w:rsid w:val="00846FE6"/>
    <w:rsid w:val="0084703F"/>
    <w:rsid w:val="00847A53"/>
    <w:rsid w:val="00850001"/>
    <w:rsid w:val="008502FF"/>
    <w:rsid w:val="00851741"/>
    <w:rsid w:val="00851C17"/>
    <w:rsid w:val="00851EA9"/>
    <w:rsid w:val="00852147"/>
    <w:rsid w:val="008529B2"/>
    <w:rsid w:val="00853197"/>
    <w:rsid w:val="008545E6"/>
    <w:rsid w:val="00854E34"/>
    <w:rsid w:val="00854E38"/>
    <w:rsid w:val="00860023"/>
    <w:rsid w:val="00860511"/>
    <w:rsid w:val="00860B68"/>
    <w:rsid w:val="00861615"/>
    <w:rsid w:val="0086252E"/>
    <w:rsid w:val="008626E6"/>
    <w:rsid w:val="008629A0"/>
    <w:rsid w:val="00862BF5"/>
    <w:rsid w:val="00863C7B"/>
    <w:rsid w:val="00864BA3"/>
    <w:rsid w:val="00864DFB"/>
    <w:rsid w:val="00865C5F"/>
    <w:rsid w:val="00866683"/>
    <w:rsid w:val="00866776"/>
    <w:rsid w:val="00866ABE"/>
    <w:rsid w:val="00866AE5"/>
    <w:rsid w:val="00870646"/>
    <w:rsid w:val="00870E0E"/>
    <w:rsid w:val="00871DC8"/>
    <w:rsid w:val="008723E7"/>
    <w:rsid w:val="00873182"/>
    <w:rsid w:val="008739B9"/>
    <w:rsid w:val="00873A46"/>
    <w:rsid w:val="00873BA1"/>
    <w:rsid w:val="00873C78"/>
    <w:rsid w:val="00873DBB"/>
    <w:rsid w:val="00874AFC"/>
    <w:rsid w:val="00874EFC"/>
    <w:rsid w:val="0087555C"/>
    <w:rsid w:val="00875CA8"/>
    <w:rsid w:val="00875DA4"/>
    <w:rsid w:val="0087681B"/>
    <w:rsid w:val="008779E4"/>
    <w:rsid w:val="0088144D"/>
    <w:rsid w:val="00881ECC"/>
    <w:rsid w:val="00882A70"/>
    <w:rsid w:val="00882F2F"/>
    <w:rsid w:val="008832F7"/>
    <w:rsid w:val="00883E60"/>
    <w:rsid w:val="0088468D"/>
    <w:rsid w:val="00884830"/>
    <w:rsid w:val="008856F4"/>
    <w:rsid w:val="00886251"/>
    <w:rsid w:val="0088685F"/>
    <w:rsid w:val="008909A6"/>
    <w:rsid w:val="00890F15"/>
    <w:rsid w:val="00891EA0"/>
    <w:rsid w:val="00891F82"/>
    <w:rsid w:val="00892D18"/>
    <w:rsid w:val="00892DD2"/>
    <w:rsid w:val="00892F35"/>
    <w:rsid w:val="00893262"/>
    <w:rsid w:val="00893D7D"/>
    <w:rsid w:val="00894164"/>
    <w:rsid w:val="00894471"/>
    <w:rsid w:val="0089592F"/>
    <w:rsid w:val="00895C2C"/>
    <w:rsid w:val="00896414"/>
    <w:rsid w:val="008974D8"/>
    <w:rsid w:val="008976B6"/>
    <w:rsid w:val="008A02F4"/>
    <w:rsid w:val="008A11D1"/>
    <w:rsid w:val="008A1D56"/>
    <w:rsid w:val="008A1E1E"/>
    <w:rsid w:val="008A2B41"/>
    <w:rsid w:val="008A35CA"/>
    <w:rsid w:val="008A3810"/>
    <w:rsid w:val="008A3D79"/>
    <w:rsid w:val="008A4344"/>
    <w:rsid w:val="008A45B1"/>
    <w:rsid w:val="008A55E4"/>
    <w:rsid w:val="008A6314"/>
    <w:rsid w:val="008A67F8"/>
    <w:rsid w:val="008A6C05"/>
    <w:rsid w:val="008A7711"/>
    <w:rsid w:val="008B01D5"/>
    <w:rsid w:val="008B0497"/>
    <w:rsid w:val="008B05C0"/>
    <w:rsid w:val="008B0F99"/>
    <w:rsid w:val="008B1A4C"/>
    <w:rsid w:val="008B31DA"/>
    <w:rsid w:val="008B49B6"/>
    <w:rsid w:val="008B50F0"/>
    <w:rsid w:val="008B518E"/>
    <w:rsid w:val="008B545F"/>
    <w:rsid w:val="008B54FD"/>
    <w:rsid w:val="008B59E5"/>
    <w:rsid w:val="008B631A"/>
    <w:rsid w:val="008B6463"/>
    <w:rsid w:val="008B6A2D"/>
    <w:rsid w:val="008B70A3"/>
    <w:rsid w:val="008B719F"/>
    <w:rsid w:val="008B7320"/>
    <w:rsid w:val="008B7348"/>
    <w:rsid w:val="008C03F6"/>
    <w:rsid w:val="008C0849"/>
    <w:rsid w:val="008C1C81"/>
    <w:rsid w:val="008C20DC"/>
    <w:rsid w:val="008C26F8"/>
    <w:rsid w:val="008C2C64"/>
    <w:rsid w:val="008C2D31"/>
    <w:rsid w:val="008C2E04"/>
    <w:rsid w:val="008C345C"/>
    <w:rsid w:val="008C3889"/>
    <w:rsid w:val="008C4788"/>
    <w:rsid w:val="008C49C7"/>
    <w:rsid w:val="008C4E70"/>
    <w:rsid w:val="008C7CBA"/>
    <w:rsid w:val="008D0701"/>
    <w:rsid w:val="008D0ABB"/>
    <w:rsid w:val="008D0C21"/>
    <w:rsid w:val="008D116B"/>
    <w:rsid w:val="008D1374"/>
    <w:rsid w:val="008D14A0"/>
    <w:rsid w:val="008D1D8F"/>
    <w:rsid w:val="008D2D9A"/>
    <w:rsid w:val="008D4209"/>
    <w:rsid w:val="008D49B5"/>
    <w:rsid w:val="008D5415"/>
    <w:rsid w:val="008D561A"/>
    <w:rsid w:val="008D6897"/>
    <w:rsid w:val="008D7F58"/>
    <w:rsid w:val="008E01D8"/>
    <w:rsid w:val="008E0272"/>
    <w:rsid w:val="008E1C43"/>
    <w:rsid w:val="008E2605"/>
    <w:rsid w:val="008E2991"/>
    <w:rsid w:val="008E2B2F"/>
    <w:rsid w:val="008E2DDB"/>
    <w:rsid w:val="008E336B"/>
    <w:rsid w:val="008E4EB3"/>
    <w:rsid w:val="008E565C"/>
    <w:rsid w:val="008E6C98"/>
    <w:rsid w:val="008E71D9"/>
    <w:rsid w:val="008E7EFB"/>
    <w:rsid w:val="008E7F2D"/>
    <w:rsid w:val="008F01B9"/>
    <w:rsid w:val="008F1D37"/>
    <w:rsid w:val="008F23A5"/>
    <w:rsid w:val="008F2498"/>
    <w:rsid w:val="008F2CC1"/>
    <w:rsid w:val="008F2E9B"/>
    <w:rsid w:val="008F2FDF"/>
    <w:rsid w:val="008F3B5B"/>
    <w:rsid w:val="008F3D0E"/>
    <w:rsid w:val="008F660D"/>
    <w:rsid w:val="009000A0"/>
    <w:rsid w:val="00900735"/>
    <w:rsid w:val="00900935"/>
    <w:rsid w:val="00900C29"/>
    <w:rsid w:val="0090155A"/>
    <w:rsid w:val="009025A1"/>
    <w:rsid w:val="00902BAE"/>
    <w:rsid w:val="009032D1"/>
    <w:rsid w:val="009037D9"/>
    <w:rsid w:val="009050AB"/>
    <w:rsid w:val="009054BA"/>
    <w:rsid w:val="00905856"/>
    <w:rsid w:val="00905B98"/>
    <w:rsid w:val="009060E3"/>
    <w:rsid w:val="00907505"/>
    <w:rsid w:val="0091075A"/>
    <w:rsid w:val="00910A9D"/>
    <w:rsid w:val="00910CDF"/>
    <w:rsid w:val="00912364"/>
    <w:rsid w:val="00912B3E"/>
    <w:rsid w:val="00913099"/>
    <w:rsid w:val="00913887"/>
    <w:rsid w:val="00913EBD"/>
    <w:rsid w:val="00914010"/>
    <w:rsid w:val="00914D65"/>
    <w:rsid w:val="009155D0"/>
    <w:rsid w:val="00915774"/>
    <w:rsid w:val="00915C9C"/>
    <w:rsid w:val="009164D3"/>
    <w:rsid w:val="0091672C"/>
    <w:rsid w:val="00916EFD"/>
    <w:rsid w:val="00917D9B"/>
    <w:rsid w:val="00920075"/>
    <w:rsid w:val="00921640"/>
    <w:rsid w:val="009216E6"/>
    <w:rsid w:val="00921816"/>
    <w:rsid w:val="00921A44"/>
    <w:rsid w:val="00922EC5"/>
    <w:rsid w:val="0092301B"/>
    <w:rsid w:val="00923C36"/>
    <w:rsid w:val="00924385"/>
    <w:rsid w:val="00924B0F"/>
    <w:rsid w:val="00924C95"/>
    <w:rsid w:val="00924DBB"/>
    <w:rsid w:val="00925247"/>
    <w:rsid w:val="009257FF"/>
    <w:rsid w:val="00926B1C"/>
    <w:rsid w:val="00927C7F"/>
    <w:rsid w:val="00931200"/>
    <w:rsid w:val="00931208"/>
    <w:rsid w:val="009316E4"/>
    <w:rsid w:val="009320B2"/>
    <w:rsid w:val="009332D9"/>
    <w:rsid w:val="0093337A"/>
    <w:rsid w:val="009338A9"/>
    <w:rsid w:val="00933EEB"/>
    <w:rsid w:val="00934F49"/>
    <w:rsid w:val="0093519D"/>
    <w:rsid w:val="009353B2"/>
    <w:rsid w:val="00935A18"/>
    <w:rsid w:val="00936577"/>
    <w:rsid w:val="00936CBA"/>
    <w:rsid w:val="00937C71"/>
    <w:rsid w:val="009401A7"/>
    <w:rsid w:val="00942A4F"/>
    <w:rsid w:val="00942A87"/>
    <w:rsid w:val="0094338D"/>
    <w:rsid w:val="0094370C"/>
    <w:rsid w:val="00944267"/>
    <w:rsid w:val="0094472F"/>
    <w:rsid w:val="00944E3E"/>
    <w:rsid w:val="009460F5"/>
    <w:rsid w:val="009472E6"/>
    <w:rsid w:val="0094744C"/>
    <w:rsid w:val="00947696"/>
    <w:rsid w:val="0094778C"/>
    <w:rsid w:val="00947FEB"/>
    <w:rsid w:val="009516C3"/>
    <w:rsid w:val="00952107"/>
    <w:rsid w:val="0095242D"/>
    <w:rsid w:val="00952F81"/>
    <w:rsid w:val="00954A36"/>
    <w:rsid w:val="00955307"/>
    <w:rsid w:val="00955825"/>
    <w:rsid w:val="00955DFC"/>
    <w:rsid w:val="0095677B"/>
    <w:rsid w:val="00956DB7"/>
    <w:rsid w:val="00957B86"/>
    <w:rsid w:val="0096144A"/>
    <w:rsid w:val="00962756"/>
    <w:rsid w:val="00962954"/>
    <w:rsid w:val="009630F2"/>
    <w:rsid w:val="00963A8D"/>
    <w:rsid w:val="00964286"/>
    <w:rsid w:val="009642EB"/>
    <w:rsid w:val="0096440B"/>
    <w:rsid w:val="00965BCC"/>
    <w:rsid w:val="00965FCC"/>
    <w:rsid w:val="0096727F"/>
    <w:rsid w:val="0096767D"/>
    <w:rsid w:val="00967693"/>
    <w:rsid w:val="00967C2E"/>
    <w:rsid w:val="00967EF0"/>
    <w:rsid w:val="00970063"/>
    <w:rsid w:val="00970A2F"/>
    <w:rsid w:val="00970EA7"/>
    <w:rsid w:val="009713C0"/>
    <w:rsid w:val="00971B7D"/>
    <w:rsid w:val="00972B5E"/>
    <w:rsid w:val="00973182"/>
    <w:rsid w:val="0097318D"/>
    <w:rsid w:val="009731BC"/>
    <w:rsid w:val="009731E0"/>
    <w:rsid w:val="00973E15"/>
    <w:rsid w:val="00974459"/>
    <w:rsid w:val="00975227"/>
    <w:rsid w:val="00976421"/>
    <w:rsid w:val="009771CC"/>
    <w:rsid w:val="00981457"/>
    <w:rsid w:val="00981C77"/>
    <w:rsid w:val="00982CE1"/>
    <w:rsid w:val="00982DCD"/>
    <w:rsid w:val="009833E7"/>
    <w:rsid w:val="00983752"/>
    <w:rsid w:val="00983D27"/>
    <w:rsid w:val="00983D34"/>
    <w:rsid w:val="00984E5C"/>
    <w:rsid w:val="00984EFD"/>
    <w:rsid w:val="00986726"/>
    <w:rsid w:val="00986A90"/>
    <w:rsid w:val="0099076A"/>
    <w:rsid w:val="0099084A"/>
    <w:rsid w:val="009915D7"/>
    <w:rsid w:val="009918FF"/>
    <w:rsid w:val="00991ED7"/>
    <w:rsid w:val="00992E8B"/>
    <w:rsid w:val="00992FAF"/>
    <w:rsid w:val="0099425D"/>
    <w:rsid w:val="009946E4"/>
    <w:rsid w:val="009950D5"/>
    <w:rsid w:val="0099543E"/>
    <w:rsid w:val="00995486"/>
    <w:rsid w:val="009959EB"/>
    <w:rsid w:val="00995C9C"/>
    <w:rsid w:val="009962C2"/>
    <w:rsid w:val="0099645E"/>
    <w:rsid w:val="009A05A8"/>
    <w:rsid w:val="009A1077"/>
    <w:rsid w:val="009A1D6B"/>
    <w:rsid w:val="009A1F67"/>
    <w:rsid w:val="009A2320"/>
    <w:rsid w:val="009A3DAD"/>
    <w:rsid w:val="009A3DDB"/>
    <w:rsid w:val="009A3DDF"/>
    <w:rsid w:val="009A445D"/>
    <w:rsid w:val="009A4503"/>
    <w:rsid w:val="009A4810"/>
    <w:rsid w:val="009A4D44"/>
    <w:rsid w:val="009A5698"/>
    <w:rsid w:val="009A6479"/>
    <w:rsid w:val="009A7A6D"/>
    <w:rsid w:val="009B12E6"/>
    <w:rsid w:val="009B1A1C"/>
    <w:rsid w:val="009B2534"/>
    <w:rsid w:val="009B2B01"/>
    <w:rsid w:val="009B2BAB"/>
    <w:rsid w:val="009B3695"/>
    <w:rsid w:val="009B44AD"/>
    <w:rsid w:val="009B46F2"/>
    <w:rsid w:val="009B5578"/>
    <w:rsid w:val="009B5658"/>
    <w:rsid w:val="009B5CDE"/>
    <w:rsid w:val="009B7790"/>
    <w:rsid w:val="009B7EA3"/>
    <w:rsid w:val="009C037E"/>
    <w:rsid w:val="009C0592"/>
    <w:rsid w:val="009C0DCC"/>
    <w:rsid w:val="009C107D"/>
    <w:rsid w:val="009C1F99"/>
    <w:rsid w:val="009C2257"/>
    <w:rsid w:val="009C3057"/>
    <w:rsid w:val="009C53C3"/>
    <w:rsid w:val="009C5810"/>
    <w:rsid w:val="009C5E1C"/>
    <w:rsid w:val="009C6CFD"/>
    <w:rsid w:val="009C71DD"/>
    <w:rsid w:val="009C7B32"/>
    <w:rsid w:val="009C7D05"/>
    <w:rsid w:val="009C7E8A"/>
    <w:rsid w:val="009D118A"/>
    <w:rsid w:val="009D297B"/>
    <w:rsid w:val="009D2B80"/>
    <w:rsid w:val="009D3084"/>
    <w:rsid w:val="009D3D84"/>
    <w:rsid w:val="009D5516"/>
    <w:rsid w:val="009D5D90"/>
    <w:rsid w:val="009D5DAA"/>
    <w:rsid w:val="009D5E2B"/>
    <w:rsid w:val="009D5E58"/>
    <w:rsid w:val="009D659A"/>
    <w:rsid w:val="009D667B"/>
    <w:rsid w:val="009D6C76"/>
    <w:rsid w:val="009D6EDD"/>
    <w:rsid w:val="009D701F"/>
    <w:rsid w:val="009D7033"/>
    <w:rsid w:val="009D731E"/>
    <w:rsid w:val="009D78C2"/>
    <w:rsid w:val="009E03CA"/>
    <w:rsid w:val="009E0F7D"/>
    <w:rsid w:val="009E1E98"/>
    <w:rsid w:val="009E2616"/>
    <w:rsid w:val="009E2CEA"/>
    <w:rsid w:val="009E41EF"/>
    <w:rsid w:val="009E470F"/>
    <w:rsid w:val="009E524B"/>
    <w:rsid w:val="009E5B12"/>
    <w:rsid w:val="009E603A"/>
    <w:rsid w:val="009E6177"/>
    <w:rsid w:val="009E6B89"/>
    <w:rsid w:val="009E6C2D"/>
    <w:rsid w:val="009E718F"/>
    <w:rsid w:val="009E7F60"/>
    <w:rsid w:val="009F03BE"/>
    <w:rsid w:val="009F07F5"/>
    <w:rsid w:val="009F08A5"/>
    <w:rsid w:val="009F4A68"/>
    <w:rsid w:val="009F652A"/>
    <w:rsid w:val="009F6CB7"/>
    <w:rsid w:val="009F7691"/>
    <w:rsid w:val="00A00099"/>
    <w:rsid w:val="00A0081A"/>
    <w:rsid w:val="00A00FF4"/>
    <w:rsid w:val="00A02869"/>
    <w:rsid w:val="00A02898"/>
    <w:rsid w:val="00A03705"/>
    <w:rsid w:val="00A03EF6"/>
    <w:rsid w:val="00A043A1"/>
    <w:rsid w:val="00A044ED"/>
    <w:rsid w:val="00A06282"/>
    <w:rsid w:val="00A063B3"/>
    <w:rsid w:val="00A0684F"/>
    <w:rsid w:val="00A06892"/>
    <w:rsid w:val="00A0757C"/>
    <w:rsid w:val="00A077A2"/>
    <w:rsid w:val="00A079F1"/>
    <w:rsid w:val="00A10E53"/>
    <w:rsid w:val="00A110B6"/>
    <w:rsid w:val="00A112FB"/>
    <w:rsid w:val="00A11B90"/>
    <w:rsid w:val="00A1222C"/>
    <w:rsid w:val="00A13DAB"/>
    <w:rsid w:val="00A13EFD"/>
    <w:rsid w:val="00A14AE5"/>
    <w:rsid w:val="00A16145"/>
    <w:rsid w:val="00A17120"/>
    <w:rsid w:val="00A1780F"/>
    <w:rsid w:val="00A20DAB"/>
    <w:rsid w:val="00A2103C"/>
    <w:rsid w:val="00A22173"/>
    <w:rsid w:val="00A223B8"/>
    <w:rsid w:val="00A22F24"/>
    <w:rsid w:val="00A22FDC"/>
    <w:rsid w:val="00A238C5"/>
    <w:rsid w:val="00A243E9"/>
    <w:rsid w:val="00A2461C"/>
    <w:rsid w:val="00A249F8"/>
    <w:rsid w:val="00A24FBE"/>
    <w:rsid w:val="00A251C8"/>
    <w:rsid w:val="00A25360"/>
    <w:rsid w:val="00A2546A"/>
    <w:rsid w:val="00A257C3"/>
    <w:rsid w:val="00A25BA4"/>
    <w:rsid w:val="00A26774"/>
    <w:rsid w:val="00A27136"/>
    <w:rsid w:val="00A27E76"/>
    <w:rsid w:val="00A30263"/>
    <w:rsid w:val="00A3088C"/>
    <w:rsid w:val="00A30C69"/>
    <w:rsid w:val="00A30FBB"/>
    <w:rsid w:val="00A3179A"/>
    <w:rsid w:val="00A317CC"/>
    <w:rsid w:val="00A31971"/>
    <w:rsid w:val="00A3256F"/>
    <w:rsid w:val="00A335CB"/>
    <w:rsid w:val="00A33B51"/>
    <w:rsid w:val="00A34564"/>
    <w:rsid w:val="00A355D6"/>
    <w:rsid w:val="00A364F0"/>
    <w:rsid w:val="00A3688F"/>
    <w:rsid w:val="00A36A70"/>
    <w:rsid w:val="00A37AD5"/>
    <w:rsid w:val="00A403AD"/>
    <w:rsid w:val="00A4162E"/>
    <w:rsid w:val="00A416A4"/>
    <w:rsid w:val="00A420DC"/>
    <w:rsid w:val="00A43206"/>
    <w:rsid w:val="00A432B9"/>
    <w:rsid w:val="00A434B1"/>
    <w:rsid w:val="00A443AF"/>
    <w:rsid w:val="00A4449D"/>
    <w:rsid w:val="00A44741"/>
    <w:rsid w:val="00A45F55"/>
    <w:rsid w:val="00A462AA"/>
    <w:rsid w:val="00A46407"/>
    <w:rsid w:val="00A4669F"/>
    <w:rsid w:val="00A504C5"/>
    <w:rsid w:val="00A52616"/>
    <w:rsid w:val="00A52E3C"/>
    <w:rsid w:val="00A534D3"/>
    <w:rsid w:val="00A550F2"/>
    <w:rsid w:val="00A5523F"/>
    <w:rsid w:val="00A55350"/>
    <w:rsid w:val="00A55B43"/>
    <w:rsid w:val="00A56292"/>
    <w:rsid w:val="00A57280"/>
    <w:rsid w:val="00A57545"/>
    <w:rsid w:val="00A5781D"/>
    <w:rsid w:val="00A578A3"/>
    <w:rsid w:val="00A57E0D"/>
    <w:rsid w:val="00A607DB"/>
    <w:rsid w:val="00A6173E"/>
    <w:rsid w:val="00A61C12"/>
    <w:rsid w:val="00A61D7E"/>
    <w:rsid w:val="00A62F9C"/>
    <w:rsid w:val="00A66D34"/>
    <w:rsid w:val="00A714A4"/>
    <w:rsid w:val="00A714AD"/>
    <w:rsid w:val="00A71838"/>
    <w:rsid w:val="00A72466"/>
    <w:rsid w:val="00A728C1"/>
    <w:rsid w:val="00A72C75"/>
    <w:rsid w:val="00A72DDE"/>
    <w:rsid w:val="00A73286"/>
    <w:rsid w:val="00A748DE"/>
    <w:rsid w:val="00A77A25"/>
    <w:rsid w:val="00A77C39"/>
    <w:rsid w:val="00A80242"/>
    <w:rsid w:val="00A81554"/>
    <w:rsid w:val="00A81777"/>
    <w:rsid w:val="00A81B46"/>
    <w:rsid w:val="00A82431"/>
    <w:rsid w:val="00A82680"/>
    <w:rsid w:val="00A83BA3"/>
    <w:rsid w:val="00A8419C"/>
    <w:rsid w:val="00A841A3"/>
    <w:rsid w:val="00A84AF9"/>
    <w:rsid w:val="00A857F8"/>
    <w:rsid w:val="00A85B84"/>
    <w:rsid w:val="00A878FA"/>
    <w:rsid w:val="00A87C97"/>
    <w:rsid w:val="00A90617"/>
    <w:rsid w:val="00A90E35"/>
    <w:rsid w:val="00A91AA1"/>
    <w:rsid w:val="00A91EE7"/>
    <w:rsid w:val="00A94632"/>
    <w:rsid w:val="00A9556D"/>
    <w:rsid w:val="00A95AA4"/>
    <w:rsid w:val="00AA0922"/>
    <w:rsid w:val="00AA2E3A"/>
    <w:rsid w:val="00AA2ECF"/>
    <w:rsid w:val="00AA35F0"/>
    <w:rsid w:val="00AA4511"/>
    <w:rsid w:val="00AA49DA"/>
    <w:rsid w:val="00AA4CA9"/>
    <w:rsid w:val="00AA4F35"/>
    <w:rsid w:val="00AA5538"/>
    <w:rsid w:val="00AA5AB5"/>
    <w:rsid w:val="00AA63F3"/>
    <w:rsid w:val="00AA78B6"/>
    <w:rsid w:val="00AB07EC"/>
    <w:rsid w:val="00AB0EA5"/>
    <w:rsid w:val="00AB12E2"/>
    <w:rsid w:val="00AB3770"/>
    <w:rsid w:val="00AB38BD"/>
    <w:rsid w:val="00AB3CE6"/>
    <w:rsid w:val="00AB4C47"/>
    <w:rsid w:val="00AB4DB4"/>
    <w:rsid w:val="00AB6974"/>
    <w:rsid w:val="00AB7757"/>
    <w:rsid w:val="00AC0344"/>
    <w:rsid w:val="00AC06A3"/>
    <w:rsid w:val="00AC0CFE"/>
    <w:rsid w:val="00AC15C9"/>
    <w:rsid w:val="00AC263F"/>
    <w:rsid w:val="00AC5159"/>
    <w:rsid w:val="00AC5395"/>
    <w:rsid w:val="00AC5C21"/>
    <w:rsid w:val="00AC6E4F"/>
    <w:rsid w:val="00AC734D"/>
    <w:rsid w:val="00AD034D"/>
    <w:rsid w:val="00AD063B"/>
    <w:rsid w:val="00AD0696"/>
    <w:rsid w:val="00AD083B"/>
    <w:rsid w:val="00AD0E9E"/>
    <w:rsid w:val="00AD164B"/>
    <w:rsid w:val="00AD4180"/>
    <w:rsid w:val="00AD4376"/>
    <w:rsid w:val="00AD4F79"/>
    <w:rsid w:val="00AD5022"/>
    <w:rsid w:val="00AD7D33"/>
    <w:rsid w:val="00AE0327"/>
    <w:rsid w:val="00AE0359"/>
    <w:rsid w:val="00AE03B9"/>
    <w:rsid w:val="00AE1D1A"/>
    <w:rsid w:val="00AE1F17"/>
    <w:rsid w:val="00AE34F5"/>
    <w:rsid w:val="00AE3556"/>
    <w:rsid w:val="00AE3FA4"/>
    <w:rsid w:val="00AE55D4"/>
    <w:rsid w:val="00AE5C0D"/>
    <w:rsid w:val="00AE60D7"/>
    <w:rsid w:val="00AE67F2"/>
    <w:rsid w:val="00AE784C"/>
    <w:rsid w:val="00AE7933"/>
    <w:rsid w:val="00AE7A84"/>
    <w:rsid w:val="00AE7DB4"/>
    <w:rsid w:val="00AF047D"/>
    <w:rsid w:val="00AF078A"/>
    <w:rsid w:val="00AF079C"/>
    <w:rsid w:val="00AF2CFA"/>
    <w:rsid w:val="00AF331E"/>
    <w:rsid w:val="00AF36B7"/>
    <w:rsid w:val="00AF3916"/>
    <w:rsid w:val="00AF3AE4"/>
    <w:rsid w:val="00AF577D"/>
    <w:rsid w:val="00AF65CA"/>
    <w:rsid w:val="00AF7F9E"/>
    <w:rsid w:val="00B0153F"/>
    <w:rsid w:val="00B015E5"/>
    <w:rsid w:val="00B020AE"/>
    <w:rsid w:val="00B0236E"/>
    <w:rsid w:val="00B0249E"/>
    <w:rsid w:val="00B0281D"/>
    <w:rsid w:val="00B03177"/>
    <w:rsid w:val="00B037DA"/>
    <w:rsid w:val="00B042A3"/>
    <w:rsid w:val="00B063BF"/>
    <w:rsid w:val="00B06718"/>
    <w:rsid w:val="00B0698F"/>
    <w:rsid w:val="00B07084"/>
    <w:rsid w:val="00B0720C"/>
    <w:rsid w:val="00B07257"/>
    <w:rsid w:val="00B07F4A"/>
    <w:rsid w:val="00B100A5"/>
    <w:rsid w:val="00B11623"/>
    <w:rsid w:val="00B1227E"/>
    <w:rsid w:val="00B1273A"/>
    <w:rsid w:val="00B134C8"/>
    <w:rsid w:val="00B13E7B"/>
    <w:rsid w:val="00B14518"/>
    <w:rsid w:val="00B15584"/>
    <w:rsid w:val="00B15765"/>
    <w:rsid w:val="00B161D4"/>
    <w:rsid w:val="00B16A1B"/>
    <w:rsid w:val="00B17ADA"/>
    <w:rsid w:val="00B17D82"/>
    <w:rsid w:val="00B17E90"/>
    <w:rsid w:val="00B20259"/>
    <w:rsid w:val="00B20A00"/>
    <w:rsid w:val="00B229DC"/>
    <w:rsid w:val="00B23389"/>
    <w:rsid w:val="00B2449B"/>
    <w:rsid w:val="00B24E88"/>
    <w:rsid w:val="00B30B14"/>
    <w:rsid w:val="00B323B5"/>
    <w:rsid w:val="00B323E0"/>
    <w:rsid w:val="00B32767"/>
    <w:rsid w:val="00B32CC7"/>
    <w:rsid w:val="00B33240"/>
    <w:rsid w:val="00B338A2"/>
    <w:rsid w:val="00B358A4"/>
    <w:rsid w:val="00B36789"/>
    <w:rsid w:val="00B37258"/>
    <w:rsid w:val="00B374A0"/>
    <w:rsid w:val="00B37E2C"/>
    <w:rsid w:val="00B3FA39"/>
    <w:rsid w:val="00B4109F"/>
    <w:rsid w:val="00B41671"/>
    <w:rsid w:val="00B42773"/>
    <w:rsid w:val="00B432E0"/>
    <w:rsid w:val="00B43550"/>
    <w:rsid w:val="00B43AB3"/>
    <w:rsid w:val="00B43B4A"/>
    <w:rsid w:val="00B44C39"/>
    <w:rsid w:val="00B4640A"/>
    <w:rsid w:val="00B469DE"/>
    <w:rsid w:val="00B46BED"/>
    <w:rsid w:val="00B477A0"/>
    <w:rsid w:val="00B47C1C"/>
    <w:rsid w:val="00B50387"/>
    <w:rsid w:val="00B50B49"/>
    <w:rsid w:val="00B51B52"/>
    <w:rsid w:val="00B54F7D"/>
    <w:rsid w:val="00B55032"/>
    <w:rsid w:val="00B55284"/>
    <w:rsid w:val="00B56D0F"/>
    <w:rsid w:val="00B57258"/>
    <w:rsid w:val="00B57AEE"/>
    <w:rsid w:val="00B57B43"/>
    <w:rsid w:val="00B57B85"/>
    <w:rsid w:val="00B6096E"/>
    <w:rsid w:val="00B61D72"/>
    <w:rsid w:val="00B62E7C"/>
    <w:rsid w:val="00B64B0A"/>
    <w:rsid w:val="00B652A5"/>
    <w:rsid w:val="00B662A3"/>
    <w:rsid w:val="00B668FB"/>
    <w:rsid w:val="00B678FF"/>
    <w:rsid w:val="00B70D0A"/>
    <w:rsid w:val="00B71FA5"/>
    <w:rsid w:val="00B7202B"/>
    <w:rsid w:val="00B731E5"/>
    <w:rsid w:val="00B73F48"/>
    <w:rsid w:val="00B73FC4"/>
    <w:rsid w:val="00B74062"/>
    <w:rsid w:val="00B740FF"/>
    <w:rsid w:val="00B74357"/>
    <w:rsid w:val="00B7456C"/>
    <w:rsid w:val="00B75507"/>
    <w:rsid w:val="00B75F20"/>
    <w:rsid w:val="00B761BC"/>
    <w:rsid w:val="00B766BF"/>
    <w:rsid w:val="00B76A04"/>
    <w:rsid w:val="00B76F71"/>
    <w:rsid w:val="00B770DA"/>
    <w:rsid w:val="00B7712A"/>
    <w:rsid w:val="00B77C73"/>
    <w:rsid w:val="00B80D1E"/>
    <w:rsid w:val="00B8190B"/>
    <w:rsid w:val="00B81B11"/>
    <w:rsid w:val="00B81C5F"/>
    <w:rsid w:val="00B8276F"/>
    <w:rsid w:val="00B82943"/>
    <w:rsid w:val="00B83D1E"/>
    <w:rsid w:val="00B83FCB"/>
    <w:rsid w:val="00B860B1"/>
    <w:rsid w:val="00B8796C"/>
    <w:rsid w:val="00B9062F"/>
    <w:rsid w:val="00B908DE"/>
    <w:rsid w:val="00B90B26"/>
    <w:rsid w:val="00B91244"/>
    <w:rsid w:val="00B92525"/>
    <w:rsid w:val="00B9329B"/>
    <w:rsid w:val="00B932C3"/>
    <w:rsid w:val="00B93539"/>
    <w:rsid w:val="00B93612"/>
    <w:rsid w:val="00B946E7"/>
    <w:rsid w:val="00B948CF"/>
    <w:rsid w:val="00B94B78"/>
    <w:rsid w:val="00B94EF4"/>
    <w:rsid w:val="00B95067"/>
    <w:rsid w:val="00B960DB"/>
    <w:rsid w:val="00B966D7"/>
    <w:rsid w:val="00B96ABF"/>
    <w:rsid w:val="00BA0394"/>
    <w:rsid w:val="00BA22B7"/>
    <w:rsid w:val="00BA2317"/>
    <w:rsid w:val="00BA2FC7"/>
    <w:rsid w:val="00BA314E"/>
    <w:rsid w:val="00BA3152"/>
    <w:rsid w:val="00BA36F2"/>
    <w:rsid w:val="00BA4C13"/>
    <w:rsid w:val="00BA527E"/>
    <w:rsid w:val="00BA7360"/>
    <w:rsid w:val="00BA753B"/>
    <w:rsid w:val="00BA76AD"/>
    <w:rsid w:val="00BA7A78"/>
    <w:rsid w:val="00BA7EF4"/>
    <w:rsid w:val="00BB0193"/>
    <w:rsid w:val="00BB021C"/>
    <w:rsid w:val="00BB12EF"/>
    <w:rsid w:val="00BB1C78"/>
    <w:rsid w:val="00BB265B"/>
    <w:rsid w:val="00BB2B62"/>
    <w:rsid w:val="00BB47D2"/>
    <w:rsid w:val="00BB4E52"/>
    <w:rsid w:val="00BB51CD"/>
    <w:rsid w:val="00BB5A4B"/>
    <w:rsid w:val="00BB5E11"/>
    <w:rsid w:val="00BB6123"/>
    <w:rsid w:val="00BB6F97"/>
    <w:rsid w:val="00BB73C6"/>
    <w:rsid w:val="00BC0CC3"/>
    <w:rsid w:val="00BC0D3F"/>
    <w:rsid w:val="00BC10DC"/>
    <w:rsid w:val="00BC1A73"/>
    <w:rsid w:val="00BC2DAC"/>
    <w:rsid w:val="00BC4849"/>
    <w:rsid w:val="00BC4F2E"/>
    <w:rsid w:val="00BC68E7"/>
    <w:rsid w:val="00BC6C23"/>
    <w:rsid w:val="00BC7FB2"/>
    <w:rsid w:val="00BD0029"/>
    <w:rsid w:val="00BD0244"/>
    <w:rsid w:val="00BD02D9"/>
    <w:rsid w:val="00BD0A71"/>
    <w:rsid w:val="00BD1D01"/>
    <w:rsid w:val="00BD21B4"/>
    <w:rsid w:val="00BD25FE"/>
    <w:rsid w:val="00BD2E71"/>
    <w:rsid w:val="00BD43CD"/>
    <w:rsid w:val="00BD47F6"/>
    <w:rsid w:val="00BD532B"/>
    <w:rsid w:val="00BD5528"/>
    <w:rsid w:val="00BD554E"/>
    <w:rsid w:val="00BD65EC"/>
    <w:rsid w:val="00BD710B"/>
    <w:rsid w:val="00BD7882"/>
    <w:rsid w:val="00BD7B24"/>
    <w:rsid w:val="00BE122F"/>
    <w:rsid w:val="00BE370F"/>
    <w:rsid w:val="00BE38F4"/>
    <w:rsid w:val="00BE3EB1"/>
    <w:rsid w:val="00BE51CA"/>
    <w:rsid w:val="00BE53C2"/>
    <w:rsid w:val="00BE5604"/>
    <w:rsid w:val="00BE602D"/>
    <w:rsid w:val="00BE6A97"/>
    <w:rsid w:val="00BE735E"/>
    <w:rsid w:val="00BE7ABB"/>
    <w:rsid w:val="00BF0AF9"/>
    <w:rsid w:val="00BF2062"/>
    <w:rsid w:val="00BF27EA"/>
    <w:rsid w:val="00BF297C"/>
    <w:rsid w:val="00BF2C9C"/>
    <w:rsid w:val="00BF402B"/>
    <w:rsid w:val="00BF43AB"/>
    <w:rsid w:val="00BF4B5A"/>
    <w:rsid w:val="00BF4BB6"/>
    <w:rsid w:val="00BF4C11"/>
    <w:rsid w:val="00BF50EF"/>
    <w:rsid w:val="00BF52DF"/>
    <w:rsid w:val="00BF5C19"/>
    <w:rsid w:val="00BF6181"/>
    <w:rsid w:val="00BF6935"/>
    <w:rsid w:val="00BF694A"/>
    <w:rsid w:val="00BF6967"/>
    <w:rsid w:val="00BF7090"/>
    <w:rsid w:val="00BF78B1"/>
    <w:rsid w:val="00BF7B31"/>
    <w:rsid w:val="00C0042B"/>
    <w:rsid w:val="00C0108F"/>
    <w:rsid w:val="00C02094"/>
    <w:rsid w:val="00C023D5"/>
    <w:rsid w:val="00C02491"/>
    <w:rsid w:val="00C02684"/>
    <w:rsid w:val="00C02FA3"/>
    <w:rsid w:val="00C0423D"/>
    <w:rsid w:val="00C046D3"/>
    <w:rsid w:val="00C05148"/>
    <w:rsid w:val="00C051EA"/>
    <w:rsid w:val="00C0568E"/>
    <w:rsid w:val="00C05847"/>
    <w:rsid w:val="00C06664"/>
    <w:rsid w:val="00C06A10"/>
    <w:rsid w:val="00C079FB"/>
    <w:rsid w:val="00C10210"/>
    <w:rsid w:val="00C105FA"/>
    <w:rsid w:val="00C109F0"/>
    <w:rsid w:val="00C1233C"/>
    <w:rsid w:val="00C12681"/>
    <w:rsid w:val="00C12A77"/>
    <w:rsid w:val="00C13B49"/>
    <w:rsid w:val="00C14B07"/>
    <w:rsid w:val="00C14B1E"/>
    <w:rsid w:val="00C14C2E"/>
    <w:rsid w:val="00C15064"/>
    <w:rsid w:val="00C15755"/>
    <w:rsid w:val="00C158E6"/>
    <w:rsid w:val="00C15F97"/>
    <w:rsid w:val="00C15FFF"/>
    <w:rsid w:val="00C17EAB"/>
    <w:rsid w:val="00C20188"/>
    <w:rsid w:val="00C20810"/>
    <w:rsid w:val="00C20AFC"/>
    <w:rsid w:val="00C214FB"/>
    <w:rsid w:val="00C21A3A"/>
    <w:rsid w:val="00C21C2D"/>
    <w:rsid w:val="00C21E21"/>
    <w:rsid w:val="00C222AE"/>
    <w:rsid w:val="00C23932"/>
    <w:rsid w:val="00C24FBE"/>
    <w:rsid w:val="00C25E55"/>
    <w:rsid w:val="00C263F6"/>
    <w:rsid w:val="00C2650D"/>
    <w:rsid w:val="00C2699E"/>
    <w:rsid w:val="00C26DC4"/>
    <w:rsid w:val="00C2795E"/>
    <w:rsid w:val="00C27A03"/>
    <w:rsid w:val="00C27DEB"/>
    <w:rsid w:val="00C302F9"/>
    <w:rsid w:val="00C3071D"/>
    <w:rsid w:val="00C30D73"/>
    <w:rsid w:val="00C30F09"/>
    <w:rsid w:val="00C31741"/>
    <w:rsid w:val="00C31F32"/>
    <w:rsid w:val="00C32294"/>
    <w:rsid w:val="00C33F3E"/>
    <w:rsid w:val="00C34449"/>
    <w:rsid w:val="00C34B1A"/>
    <w:rsid w:val="00C37542"/>
    <w:rsid w:val="00C42086"/>
    <w:rsid w:val="00C42173"/>
    <w:rsid w:val="00C421D3"/>
    <w:rsid w:val="00C4239D"/>
    <w:rsid w:val="00C425D8"/>
    <w:rsid w:val="00C42E35"/>
    <w:rsid w:val="00C42F82"/>
    <w:rsid w:val="00C44283"/>
    <w:rsid w:val="00C44EA2"/>
    <w:rsid w:val="00C45A3E"/>
    <w:rsid w:val="00C45FC7"/>
    <w:rsid w:val="00C472C8"/>
    <w:rsid w:val="00C508A5"/>
    <w:rsid w:val="00C51121"/>
    <w:rsid w:val="00C51400"/>
    <w:rsid w:val="00C5265B"/>
    <w:rsid w:val="00C537B7"/>
    <w:rsid w:val="00C542D5"/>
    <w:rsid w:val="00C54436"/>
    <w:rsid w:val="00C546E9"/>
    <w:rsid w:val="00C549D4"/>
    <w:rsid w:val="00C55A61"/>
    <w:rsid w:val="00C55E9C"/>
    <w:rsid w:val="00C56627"/>
    <w:rsid w:val="00C5689B"/>
    <w:rsid w:val="00C61137"/>
    <w:rsid w:val="00C612F9"/>
    <w:rsid w:val="00C6160B"/>
    <w:rsid w:val="00C623A6"/>
    <w:rsid w:val="00C6296E"/>
    <w:rsid w:val="00C62CC0"/>
    <w:rsid w:val="00C633ED"/>
    <w:rsid w:val="00C636B0"/>
    <w:rsid w:val="00C63DA4"/>
    <w:rsid w:val="00C640C9"/>
    <w:rsid w:val="00C64369"/>
    <w:rsid w:val="00C6519F"/>
    <w:rsid w:val="00C6586D"/>
    <w:rsid w:val="00C658D8"/>
    <w:rsid w:val="00C65FFD"/>
    <w:rsid w:val="00C661DA"/>
    <w:rsid w:val="00C66228"/>
    <w:rsid w:val="00C67948"/>
    <w:rsid w:val="00C67A7F"/>
    <w:rsid w:val="00C702A2"/>
    <w:rsid w:val="00C705CF"/>
    <w:rsid w:val="00C71411"/>
    <w:rsid w:val="00C71D6E"/>
    <w:rsid w:val="00C728CA"/>
    <w:rsid w:val="00C72A7E"/>
    <w:rsid w:val="00C73146"/>
    <w:rsid w:val="00C7352D"/>
    <w:rsid w:val="00C74186"/>
    <w:rsid w:val="00C75249"/>
    <w:rsid w:val="00C75F68"/>
    <w:rsid w:val="00C760F9"/>
    <w:rsid w:val="00C76D4A"/>
    <w:rsid w:val="00C771CA"/>
    <w:rsid w:val="00C7741E"/>
    <w:rsid w:val="00C778E0"/>
    <w:rsid w:val="00C80099"/>
    <w:rsid w:val="00C80839"/>
    <w:rsid w:val="00C80C60"/>
    <w:rsid w:val="00C80CBE"/>
    <w:rsid w:val="00C8252A"/>
    <w:rsid w:val="00C8283E"/>
    <w:rsid w:val="00C83455"/>
    <w:rsid w:val="00C867A8"/>
    <w:rsid w:val="00C90067"/>
    <w:rsid w:val="00C909D3"/>
    <w:rsid w:val="00C90B36"/>
    <w:rsid w:val="00C912D9"/>
    <w:rsid w:val="00C929DB"/>
    <w:rsid w:val="00C92A35"/>
    <w:rsid w:val="00C92AAA"/>
    <w:rsid w:val="00C9323E"/>
    <w:rsid w:val="00C93391"/>
    <w:rsid w:val="00C93586"/>
    <w:rsid w:val="00C93687"/>
    <w:rsid w:val="00C94553"/>
    <w:rsid w:val="00C9624B"/>
    <w:rsid w:val="00CA09C4"/>
    <w:rsid w:val="00CA166B"/>
    <w:rsid w:val="00CA1832"/>
    <w:rsid w:val="00CA1DC9"/>
    <w:rsid w:val="00CA240E"/>
    <w:rsid w:val="00CA269B"/>
    <w:rsid w:val="00CA2BD2"/>
    <w:rsid w:val="00CA33F6"/>
    <w:rsid w:val="00CA5A16"/>
    <w:rsid w:val="00CA68AC"/>
    <w:rsid w:val="00CA6D75"/>
    <w:rsid w:val="00CA70BF"/>
    <w:rsid w:val="00CB00EA"/>
    <w:rsid w:val="00CB0406"/>
    <w:rsid w:val="00CB0877"/>
    <w:rsid w:val="00CB0B4C"/>
    <w:rsid w:val="00CB0B67"/>
    <w:rsid w:val="00CB0C0C"/>
    <w:rsid w:val="00CB11D2"/>
    <w:rsid w:val="00CB120A"/>
    <w:rsid w:val="00CB16AD"/>
    <w:rsid w:val="00CB1B3A"/>
    <w:rsid w:val="00CB2325"/>
    <w:rsid w:val="00CB2F69"/>
    <w:rsid w:val="00CB39B9"/>
    <w:rsid w:val="00CB4A69"/>
    <w:rsid w:val="00CB532B"/>
    <w:rsid w:val="00CB5DD7"/>
    <w:rsid w:val="00CB63B9"/>
    <w:rsid w:val="00CB6E5D"/>
    <w:rsid w:val="00CB76D6"/>
    <w:rsid w:val="00CC085E"/>
    <w:rsid w:val="00CC10EE"/>
    <w:rsid w:val="00CC2593"/>
    <w:rsid w:val="00CC3312"/>
    <w:rsid w:val="00CC3658"/>
    <w:rsid w:val="00CC3A0E"/>
    <w:rsid w:val="00CC4475"/>
    <w:rsid w:val="00CC4489"/>
    <w:rsid w:val="00CC550D"/>
    <w:rsid w:val="00CC571C"/>
    <w:rsid w:val="00CC6583"/>
    <w:rsid w:val="00CC6751"/>
    <w:rsid w:val="00CC6DFA"/>
    <w:rsid w:val="00CC7294"/>
    <w:rsid w:val="00CC73C4"/>
    <w:rsid w:val="00CC7604"/>
    <w:rsid w:val="00CC7D6A"/>
    <w:rsid w:val="00CD018A"/>
    <w:rsid w:val="00CD0D03"/>
    <w:rsid w:val="00CD2180"/>
    <w:rsid w:val="00CD2705"/>
    <w:rsid w:val="00CD2760"/>
    <w:rsid w:val="00CD2CDD"/>
    <w:rsid w:val="00CD3BEC"/>
    <w:rsid w:val="00CD430A"/>
    <w:rsid w:val="00CD4345"/>
    <w:rsid w:val="00CD595E"/>
    <w:rsid w:val="00CD61E7"/>
    <w:rsid w:val="00CE13BD"/>
    <w:rsid w:val="00CE14CF"/>
    <w:rsid w:val="00CE16C3"/>
    <w:rsid w:val="00CE1C32"/>
    <w:rsid w:val="00CE1EF1"/>
    <w:rsid w:val="00CE2AB7"/>
    <w:rsid w:val="00CE3D99"/>
    <w:rsid w:val="00CE4259"/>
    <w:rsid w:val="00CE445F"/>
    <w:rsid w:val="00CE44C8"/>
    <w:rsid w:val="00CE5C87"/>
    <w:rsid w:val="00CE5CF1"/>
    <w:rsid w:val="00CE5F63"/>
    <w:rsid w:val="00CE615A"/>
    <w:rsid w:val="00CE6A97"/>
    <w:rsid w:val="00CE6F3B"/>
    <w:rsid w:val="00CE7144"/>
    <w:rsid w:val="00CE7614"/>
    <w:rsid w:val="00CF05D2"/>
    <w:rsid w:val="00CF1992"/>
    <w:rsid w:val="00CF2207"/>
    <w:rsid w:val="00CF2D57"/>
    <w:rsid w:val="00CF2E90"/>
    <w:rsid w:val="00CF315F"/>
    <w:rsid w:val="00CF4561"/>
    <w:rsid w:val="00CF482B"/>
    <w:rsid w:val="00CF48F5"/>
    <w:rsid w:val="00D018AD"/>
    <w:rsid w:val="00D01A14"/>
    <w:rsid w:val="00D01EC1"/>
    <w:rsid w:val="00D02538"/>
    <w:rsid w:val="00D02610"/>
    <w:rsid w:val="00D02CCB"/>
    <w:rsid w:val="00D0304A"/>
    <w:rsid w:val="00D03C80"/>
    <w:rsid w:val="00D04BD0"/>
    <w:rsid w:val="00D04EE5"/>
    <w:rsid w:val="00D04FB6"/>
    <w:rsid w:val="00D0652A"/>
    <w:rsid w:val="00D06562"/>
    <w:rsid w:val="00D0657C"/>
    <w:rsid w:val="00D06648"/>
    <w:rsid w:val="00D06B89"/>
    <w:rsid w:val="00D073C2"/>
    <w:rsid w:val="00D07895"/>
    <w:rsid w:val="00D07A33"/>
    <w:rsid w:val="00D1036B"/>
    <w:rsid w:val="00D11125"/>
    <w:rsid w:val="00D112FF"/>
    <w:rsid w:val="00D11C21"/>
    <w:rsid w:val="00D13CDA"/>
    <w:rsid w:val="00D144C7"/>
    <w:rsid w:val="00D1512B"/>
    <w:rsid w:val="00D15D87"/>
    <w:rsid w:val="00D15FC4"/>
    <w:rsid w:val="00D16760"/>
    <w:rsid w:val="00D17FD6"/>
    <w:rsid w:val="00D21861"/>
    <w:rsid w:val="00D230E3"/>
    <w:rsid w:val="00D242CC"/>
    <w:rsid w:val="00D246EA"/>
    <w:rsid w:val="00D24D48"/>
    <w:rsid w:val="00D25468"/>
    <w:rsid w:val="00D25A2C"/>
    <w:rsid w:val="00D25C5C"/>
    <w:rsid w:val="00D26B65"/>
    <w:rsid w:val="00D26EA9"/>
    <w:rsid w:val="00D270DC"/>
    <w:rsid w:val="00D27393"/>
    <w:rsid w:val="00D27556"/>
    <w:rsid w:val="00D305C0"/>
    <w:rsid w:val="00D30E4C"/>
    <w:rsid w:val="00D31B46"/>
    <w:rsid w:val="00D320C6"/>
    <w:rsid w:val="00D32154"/>
    <w:rsid w:val="00D32792"/>
    <w:rsid w:val="00D32C9C"/>
    <w:rsid w:val="00D33816"/>
    <w:rsid w:val="00D34332"/>
    <w:rsid w:val="00D3494F"/>
    <w:rsid w:val="00D354D3"/>
    <w:rsid w:val="00D357FE"/>
    <w:rsid w:val="00D36105"/>
    <w:rsid w:val="00D36A37"/>
    <w:rsid w:val="00D418E6"/>
    <w:rsid w:val="00D42554"/>
    <w:rsid w:val="00D42ABE"/>
    <w:rsid w:val="00D431CB"/>
    <w:rsid w:val="00D43936"/>
    <w:rsid w:val="00D43C47"/>
    <w:rsid w:val="00D46E4F"/>
    <w:rsid w:val="00D50DC1"/>
    <w:rsid w:val="00D51353"/>
    <w:rsid w:val="00D519A0"/>
    <w:rsid w:val="00D52257"/>
    <w:rsid w:val="00D52CA9"/>
    <w:rsid w:val="00D5314A"/>
    <w:rsid w:val="00D5343B"/>
    <w:rsid w:val="00D54E91"/>
    <w:rsid w:val="00D55386"/>
    <w:rsid w:val="00D562DE"/>
    <w:rsid w:val="00D56BC5"/>
    <w:rsid w:val="00D60624"/>
    <w:rsid w:val="00D62506"/>
    <w:rsid w:val="00D62566"/>
    <w:rsid w:val="00D62571"/>
    <w:rsid w:val="00D62606"/>
    <w:rsid w:val="00D62CE8"/>
    <w:rsid w:val="00D63DFE"/>
    <w:rsid w:val="00D63EB7"/>
    <w:rsid w:val="00D640B7"/>
    <w:rsid w:val="00D64310"/>
    <w:rsid w:val="00D64EEC"/>
    <w:rsid w:val="00D6501E"/>
    <w:rsid w:val="00D65310"/>
    <w:rsid w:val="00D66135"/>
    <w:rsid w:val="00D6629C"/>
    <w:rsid w:val="00D66709"/>
    <w:rsid w:val="00D6711F"/>
    <w:rsid w:val="00D67D68"/>
    <w:rsid w:val="00D70807"/>
    <w:rsid w:val="00D71809"/>
    <w:rsid w:val="00D7200F"/>
    <w:rsid w:val="00D72E0F"/>
    <w:rsid w:val="00D73542"/>
    <w:rsid w:val="00D73E7E"/>
    <w:rsid w:val="00D73E86"/>
    <w:rsid w:val="00D74252"/>
    <w:rsid w:val="00D74E81"/>
    <w:rsid w:val="00D760FC"/>
    <w:rsid w:val="00D76580"/>
    <w:rsid w:val="00D76DA8"/>
    <w:rsid w:val="00D7715D"/>
    <w:rsid w:val="00D77CE1"/>
    <w:rsid w:val="00D77DBA"/>
    <w:rsid w:val="00D8051A"/>
    <w:rsid w:val="00D805AC"/>
    <w:rsid w:val="00D811BB"/>
    <w:rsid w:val="00D813C2"/>
    <w:rsid w:val="00D81594"/>
    <w:rsid w:val="00D818F4"/>
    <w:rsid w:val="00D83924"/>
    <w:rsid w:val="00D83A91"/>
    <w:rsid w:val="00D83B88"/>
    <w:rsid w:val="00D85090"/>
    <w:rsid w:val="00D86D8F"/>
    <w:rsid w:val="00D87163"/>
    <w:rsid w:val="00D900FA"/>
    <w:rsid w:val="00D91783"/>
    <w:rsid w:val="00D92064"/>
    <w:rsid w:val="00D92137"/>
    <w:rsid w:val="00D9237D"/>
    <w:rsid w:val="00D939EF"/>
    <w:rsid w:val="00D93A96"/>
    <w:rsid w:val="00D95EAE"/>
    <w:rsid w:val="00D965E1"/>
    <w:rsid w:val="00D96A4E"/>
    <w:rsid w:val="00D96AE6"/>
    <w:rsid w:val="00D97B95"/>
    <w:rsid w:val="00D97F93"/>
    <w:rsid w:val="00DA00EA"/>
    <w:rsid w:val="00DA0209"/>
    <w:rsid w:val="00DA04EC"/>
    <w:rsid w:val="00DA1940"/>
    <w:rsid w:val="00DA27BC"/>
    <w:rsid w:val="00DA2858"/>
    <w:rsid w:val="00DA306C"/>
    <w:rsid w:val="00DA3177"/>
    <w:rsid w:val="00DA440A"/>
    <w:rsid w:val="00DA4733"/>
    <w:rsid w:val="00DA5304"/>
    <w:rsid w:val="00DA61BB"/>
    <w:rsid w:val="00DA6A25"/>
    <w:rsid w:val="00DA77F0"/>
    <w:rsid w:val="00DA7BB7"/>
    <w:rsid w:val="00DB02A6"/>
    <w:rsid w:val="00DB0B3B"/>
    <w:rsid w:val="00DB2202"/>
    <w:rsid w:val="00DB3744"/>
    <w:rsid w:val="00DB4026"/>
    <w:rsid w:val="00DB467D"/>
    <w:rsid w:val="00DB4DB3"/>
    <w:rsid w:val="00DB4F0B"/>
    <w:rsid w:val="00DB576F"/>
    <w:rsid w:val="00DB5967"/>
    <w:rsid w:val="00DB5B84"/>
    <w:rsid w:val="00DB6A82"/>
    <w:rsid w:val="00DB6ACB"/>
    <w:rsid w:val="00DB7CAF"/>
    <w:rsid w:val="00DB7DA8"/>
    <w:rsid w:val="00DC00AC"/>
    <w:rsid w:val="00DC1797"/>
    <w:rsid w:val="00DC2902"/>
    <w:rsid w:val="00DC2ADF"/>
    <w:rsid w:val="00DC31C0"/>
    <w:rsid w:val="00DC338F"/>
    <w:rsid w:val="00DC39AD"/>
    <w:rsid w:val="00DC4538"/>
    <w:rsid w:val="00DC54CE"/>
    <w:rsid w:val="00DC5982"/>
    <w:rsid w:val="00DC5AA0"/>
    <w:rsid w:val="00DC5ADB"/>
    <w:rsid w:val="00DC6086"/>
    <w:rsid w:val="00DC7092"/>
    <w:rsid w:val="00DC70E9"/>
    <w:rsid w:val="00DC717F"/>
    <w:rsid w:val="00DC77FD"/>
    <w:rsid w:val="00DD05DE"/>
    <w:rsid w:val="00DD0FA5"/>
    <w:rsid w:val="00DD1070"/>
    <w:rsid w:val="00DD12D8"/>
    <w:rsid w:val="00DD1354"/>
    <w:rsid w:val="00DD148A"/>
    <w:rsid w:val="00DD3254"/>
    <w:rsid w:val="00DD358B"/>
    <w:rsid w:val="00DD4393"/>
    <w:rsid w:val="00DD43E8"/>
    <w:rsid w:val="00DD47C1"/>
    <w:rsid w:val="00DD51AE"/>
    <w:rsid w:val="00DD5333"/>
    <w:rsid w:val="00DD541A"/>
    <w:rsid w:val="00DD5B70"/>
    <w:rsid w:val="00DD6272"/>
    <w:rsid w:val="00DD6503"/>
    <w:rsid w:val="00DD6A55"/>
    <w:rsid w:val="00DD6A8A"/>
    <w:rsid w:val="00DD720F"/>
    <w:rsid w:val="00DE0873"/>
    <w:rsid w:val="00DE1FC6"/>
    <w:rsid w:val="00DE2B7E"/>
    <w:rsid w:val="00DE2D07"/>
    <w:rsid w:val="00DE2E1C"/>
    <w:rsid w:val="00DE2F4E"/>
    <w:rsid w:val="00DE33E3"/>
    <w:rsid w:val="00DE38D6"/>
    <w:rsid w:val="00DE400A"/>
    <w:rsid w:val="00DE452A"/>
    <w:rsid w:val="00DE4EBF"/>
    <w:rsid w:val="00DE547F"/>
    <w:rsid w:val="00DE7020"/>
    <w:rsid w:val="00DE750A"/>
    <w:rsid w:val="00DF00BF"/>
    <w:rsid w:val="00DF0BDB"/>
    <w:rsid w:val="00DF1349"/>
    <w:rsid w:val="00DF13F7"/>
    <w:rsid w:val="00DF1E3C"/>
    <w:rsid w:val="00DF2619"/>
    <w:rsid w:val="00DF329B"/>
    <w:rsid w:val="00DF3FDC"/>
    <w:rsid w:val="00DF43BE"/>
    <w:rsid w:val="00DF46A4"/>
    <w:rsid w:val="00DF4B56"/>
    <w:rsid w:val="00DF516A"/>
    <w:rsid w:val="00DF6756"/>
    <w:rsid w:val="00DF6EE7"/>
    <w:rsid w:val="00DF7009"/>
    <w:rsid w:val="00DF7DC0"/>
    <w:rsid w:val="00E00109"/>
    <w:rsid w:val="00E005C9"/>
    <w:rsid w:val="00E0165D"/>
    <w:rsid w:val="00E02128"/>
    <w:rsid w:val="00E025D5"/>
    <w:rsid w:val="00E02637"/>
    <w:rsid w:val="00E04259"/>
    <w:rsid w:val="00E04ADA"/>
    <w:rsid w:val="00E0531B"/>
    <w:rsid w:val="00E06916"/>
    <w:rsid w:val="00E06E7C"/>
    <w:rsid w:val="00E06F9C"/>
    <w:rsid w:val="00E07F43"/>
    <w:rsid w:val="00E1048D"/>
    <w:rsid w:val="00E104B0"/>
    <w:rsid w:val="00E1160B"/>
    <w:rsid w:val="00E120F7"/>
    <w:rsid w:val="00E13687"/>
    <w:rsid w:val="00E13F3D"/>
    <w:rsid w:val="00E1585C"/>
    <w:rsid w:val="00E16FC4"/>
    <w:rsid w:val="00E17622"/>
    <w:rsid w:val="00E17E5B"/>
    <w:rsid w:val="00E2142F"/>
    <w:rsid w:val="00E2191D"/>
    <w:rsid w:val="00E219EC"/>
    <w:rsid w:val="00E21ABB"/>
    <w:rsid w:val="00E21D14"/>
    <w:rsid w:val="00E22001"/>
    <w:rsid w:val="00E2216F"/>
    <w:rsid w:val="00E22203"/>
    <w:rsid w:val="00E226D9"/>
    <w:rsid w:val="00E23357"/>
    <w:rsid w:val="00E244DD"/>
    <w:rsid w:val="00E2477B"/>
    <w:rsid w:val="00E247D8"/>
    <w:rsid w:val="00E2490E"/>
    <w:rsid w:val="00E24D4E"/>
    <w:rsid w:val="00E25413"/>
    <w:rsid w:val="00E25D28"/>
    <w:rsid w:val="00E26D96"/>
    <w:rsid w:val="00E26F38"/>
    <w:rsid w:val="00E270E4"/>
    <w:rsid w:val="00E2736C"/>
    <w:rsid w:val="00E278DF"/>
    <w:rsid w:val="00E27A66"/>
    <w:rsid w:val="00E27C4D"/>
    <w:rsid w:val="00E303A0"/>
    <w:rsid w:val="00E30BBF"/>
    <w:rsid w:val="00E31DF0"/>
    <w:rsid w:val="00E32734"/>
    <w:rsid w:val="00E3348B"/>
    <w:rsid w:val="00E33E57"/>
    <w:rsid w:val="00E3456F"/>
    <w:rsid w:val="00E3628D"/>
    <w:rsid w:val="00E3670B"/>
    <w:rsid w:val="00E36946"/>
    <w:rsid w:val="00E37DAE"/>
    <w:rsid w:val="00E40498"/>
    <w:rsid w:val="00E411EE"/>
    <w:rsid w:val="00E41D78"/>
    <w:rsid w:val="00E41F28"/>
    <w:rsid w:val="00E4216B"/>
    <w:rsid w:val="00E42B12"/>
    <w:rsid w:val="00E42DC9"/>
    <w:rsid w:val="00E42F5D"/>
    <w:rsid w:val="00E43AAA"/>
    <w:rsid w:val="00E44A7B"/>
    <w:rsid w:val="00E4517F"/>
    <w:rsid w:val="00E456B9"/>
    <w:rsid w:val="00E45A3F"/>
    <w:rsid w:val="00E45EF7"/>
    <w:rsid w:val="00E46728"/>
    <w:rsid w:val="00E46C75"/>
    <w:rsid w:val="00E46E09"/>
    <w:rsid w:val="00E512DA"/>
    <w:rsid w:val="00E52F39"/>
    <w:rsid w:val="00E531A9"/>
    <w:rsid w:val="00E533EB"/>
    <w:rsid w:val="00E5347B"/>
    <w:rsid w:val="00E5406C"/>
    <w:rsid w:val="00E5473D"/>
    <w:rsid w:val="00E548A9"/>
    <w:rsid w:val="00E55D55"/>
    <w:rsid w:val="00E56F41"/>
    <w:rsid w:val="00E57CEA"/>
    <w:rsid w:val="00E6095E"/>
    <w:rsid w:val="00E60F23"/>
    <w:rsid w:val="00E61853"/>
    <w:rsid w:val="00E61C91"/>
    <w:rsid w:val="00E62116"/>
    <w:rsid w:val="00E6324C"/>
    <w:rsid w:val="00E638F1"/>
    <w:rsid w:val="00E63CAD"/>
    <w:rsid w:val="00E63D26"/>
    <w:rsid w:val="00E642DC"/>
    <w:rsid w:val="00E6450F"/>
    <w:rsid w:val="00E64965"/>
    <w:rsid w:val="00E658F2"/>
    <w:rsid w:val="00E659D3"/>
    <w:rsid w:val="00E6648E"/>
    <w:rsid w:val="00E66911"/>
    <w:rsid w:val="00E67353"/>
    <w:rsid w:val="00E67653"/>
    <w:rsid w:val="00E67EFA"/>
    <w:rsid w:val="00E704A1"/>
    <w:rsid w:val="00E7054F"/>
    <w:rsid w:val="00E71C52"/>
    <w:rsid w:val="00E722DE"/>
    <w:rsid w:val="00E72313"/>
    <w:rsid w:val="00E72D8F"/>
    <w:rsid w:val="00E72FAF"/>
    <w:rsid w:val="00E73BC0"/>
    <w:rsid w:val="00E75134"/>
    <w:rsid w:val="00E7660E"/>
    <w:rsid w:val="00E77B8E"/>
    <w:rsid w:val="00E77EE8"/>
    <w:rsid w:val="00E8046B"/>
    <w:rsid w:val="00E810E5"/>
    <w:rsid w:val="00E8168D"/>
    <w:rsid w:val="00E81DC4"/>
    <w:rsid w:val="00E850B1"/>
    <w:rsid w:val="00E85336"/>
    <w:rsid w:val="00E85A09"/>
    <w:rsid w:val="00E85B43"/>
    <w:rsid w:val="00E85B8C"/>
    <w:rsid w:val="00E86293"/>
    <w:rsid w:val="00E86CF3"/>
    <w:rsid w:val="00E86EF4"/>
    <w:rsid w:val="00E87BC2"/>
    <w:rsid w:val="00E90DDF"/>
    <w:rsid w:val="00E91064"/>
    <w:rsid w:val="00E910F6"/>
    <w:rsid w:val="00E9238F"/>
    <w:rsid w:val="00E93D94"/>
    <w:rsid w:val="00E94615"/>
    <w:rsid w:val="00E96288"/>
    <w:rsid w:val="00E975E8"/>
    <w:rsid w:val="00E977C7"/>
    <w:rsid w:val="00E97CB3"/>
    <w:rsid w:val="00E97D93"/>
    <w:rsid w:val="00EA110B"/>
    <w:rsid w:val="00EA165D"/>
    <w:rsid w:val="00EA2821"/>
    <w:rsid w:val="00EA5B57"/>
    <w:rsid w:val="00EA5BD7"/>
    <w:rsid w:val="00EA6653"/>
    <w:rsid w:val="00EA6CB2"/>
    <w:rsid w:val="00EA6EFC"/>
    <w:rsid w:val="00EB0CD6"/>
    <w:rsid w:val="00EB1560"/>
    <w:rsid w:val="00EB1DBD"/>
    <w:rsid w:val="00EB25C2"/>
    <w:rsid w:val="00EB2EF8"/>
    <w:rsid w:val="00EB357A"/>
    <w:rsid w:val="00EB4E8A"/>
    <w:rsid w:val="00EB4EBA"/>
    <w:rsid w:val="00EB4EF0"/>
    <w:rsid w:val="00EB542C"/>
    <w:rsid w:val="00EB673B"/>
    <w:rsid w:val="00EB6CAF"/>
    <w:rsid w:val="00EB7799"/>
    <w:rsid w:val="00EB78E5"/>
    <w:rsid w:val="00EC062D"/>
    <w:rsid w:val="00EC086D"/>
    <w:rsid w:val="00EC0DA4"/>
    <w:rsid w:val="00EC120D"/>
    <w:rsid w:val="00EC1BEA"/>
    <w:rsid w:val="00EC3973"/>
    <w:rsid w:val="00EC47CA"/>
    <w:rsid w:val="00EC4AE9"/>
    <w:rsid w:val="00EC4B3C"/>
    <w:rsid w:val="00EC5536"/>
    <w:rsid w:val="00EC55F0"/>
    <w:rsid w:val="00EC566D"/>
    <w:rsid w:val="00EC5740"/>
    <w:rsid w:val="00EC5C2A"/>
    <w:rsid w:val="00EC5E94"/>
    <w:rsid w:val="00EC6202"/>
    <w:rsid w:val="00EC6543"/>
    <w:rsid w:val="00EC656E"/>
    <w:rsid w:val="00EC72E3"/>
    <w:rsid w:val="00EC7C5C"/>
    <w:rsid w:val="00ED1EEE"/>
    <w:rsid w:val="00ED1F80"/>
    <w:rsid w:val="00ED20EF"/>
    <w:rsid w:val="00ED2B3D"/>
    <w:rsid w:val="00ED3E36"/>
    <w:rsid w:val="00ED48EB"/>
    <w:rsid w:val="00ED513A"/>
    <w:rsid w:val="00ED5A07"/>
    <w:rsid w:val="00ED601F"/>
    <w:rsid w:val="00ED6CDE"/>
    <w:rsid w:val="00ED74E5"/>
    <w:rsid w:val="00ED7692"/>
    <w:rsid w:val="00EE031A"/>
    <w:rsid w:val="00EE1553"/>
    <w:rsid w:val="00EE16F5"/>
    <w:rsid w:val="00EE1A26"/>
    <w:rsid w:val="00EE1B7E"/>
    <w:rsid w:val="00EE412A"/>
    <w:rsid w:val="00EE777B"/>
    <w:rsid w:val="00EE7CFD"/>
    <w:rsid w:val="00EF07FA"/>
    <w:rsid w:val="00EF0A10"/>
    <w:rsid w:val="00EF1112"/>
    <w:rsid w:val="00EF1691"/>
    <w:rsid w:val="00EF1B8D"/>
    <w:rsid w:val="00EF2268"/>
    <w:rsid w:val="00EF27B4"/>
    <w:rsid w:val="00EF2AD4"/>
    <w:rsid w:val="00EF2CE7"/>
    <w:rsid w:val="00EF3DC5"/>
    <w:rsid w:val="00EF450A"/>
    <w:rsid w:val="00EF4C26"/>
    <w:rsid w:val="00EF656D"/>
    <w:rsid w:val="00EF67F2"/>
    <w:rsid w:val="00EF701A"/>
    <w:rsid w:val="00EF7BF3"/>
    <w:rsid w:val="00F00466"/>
    <w:rsid w:val="00F015C3"/>
    <w:rsid w:val="00F02581"/>
    <w:rsid w:val="00F0327D"/>
    <w:rsid w:val="00F03614"/>
    <w:rsid w:val="00F049DA"/>
    <w:rsid w:val="00F059E8"/>
    <w:rsid w:val="00F0723C"/>
    <w:rsid w:val="00F0785D"/>
    <w:rsid w:val="00F07CF8"/>
    <w:rsid w:val="00F07FEF"/>
    <w:rsid w:val="00F10598"/>
    <w:rsid w:val="00F105CB"/>
    <w:rsid w:val="00F10840"/>
    <w:rsid w:val="00F108BF"/>
    <w:rsid w:val="00F10CFD"/>
    <w:rsid w:val="00F114D6"/>
    <w:rsid w:val="00F12E16"/>
    <w:rsid w:val="00F13D0C"/>
    <w:rsid w:val="00F1475C"/>
    <w:rsid w:val="00F152C4"/>
    <w:rsid w:val="00F16488"/>
    <w:rsid w:val="00F16569"/>
    <w:rsid w:val="00F166B2"/>
    <w:rsid w:val="00F16E55"/>
    <w:rsid w:val="00F16F5A"/>
    <w:rsid w:val="00F17110"/>
    <w:rsid w:val="00F17D00"/>
    <w:rsid w:val="00F17D0C"/>
    <w:rsid w:val="00F2094D"/>
    <w:rsid w:val="00F213A6"/>
    <w:rsid w:val="00F223C1"/>
    <w:rsid w:val="00F2267D"/>
    <w:rsid w:val="00F2293D"/>
    <w:rsid w:val="00F22A1D"/>
    <w:rsid w:val="00F22DC9"/>
    <w:rsid w:val="00F231BD"/>
    <w:rsid w:val="00F23B03"/>
    <w:rsid w:val="00F24033"/>
    <w:rsid w:val="00F246B1"/>
    <w:rsid w:val="00F24BA9"/>
    <w:rsid w:val="00F2770C"/>
    <w:rsid w:val="00F30502"/>
    <w:rsid w:val="00F31FF5"/>
    <w:rsid w:val="00F323A8"/>
    <w:rsid w:val="00F324D2"/>
    <w:rsid w:val="00F32B82"/>
    <w:rsid w:val="00F339DF"/>
    <w:rsid w:val="00F33C65"/>
    <w:rsid w:val="00F34888"/>
    <w:rsid w:val="00F34E37"/>
    <w:rsid w:val="00F352C2"/>
    <w:rsid w:val="00F36CE0"/>
    <w:rsid w:val="00F377A5"/>
    <w:rsid w:val="00F40FF0"/>
    <w:rsid w:val="00F411C3"/>
    <w:rsid w:val="00F411F0"/>
    <w:rsid w:val="00F422EC"/>
    <w:rsid w:val="00F434FC"/>
    <w:rsid w:val="00F4386D"/>
    <w:rsid w:val="00F43AC4"/>
    <w:rsid w:val="00F4440D"/>
    <w:rsid w:val="00F4464B"/>
    <w:rsid w:val="00F47E73"/>
    <w:rsid w:val="00F47ED8"/>
    <w:rsid w:val="00F507A3"/>
    <w:rsid w:val="00F512C0"/>
    <w:rsid w:val="00F5292E"/>
    <w:rsid w:val="00F531A7"/>
    <w:rsid w:val="00F540BB"/>
    <w:rsid w:val="00F5523C"/>
    <w:rsid w:val="00F55DAE"/>
    <w:rsid w:val="00F55E7B"/>
    <w:rsid w:val="00F5625E"/>
    <w:rsid w:val="00F56FE6"/>
    <w:rsid w:val="00F570A8"/>
    <w:rsid w:val="00F57348"/>
    <w:rsid w:val="00F57703"/>
    <w:rsid w:val="00F57759"/>
    <w:rsid w:val="00F60B76"/>
    <w:rsid w:val="00F60E44"/>
    <w:rsid w:val="00F6224B"/>
    <w:rsid w:val="00F634B4"/>
    <w:rsid w:val="00F64550"/>
    <w:rsid w:val="00F6462A"/>
    <w:rsid w:val="00F64B86"/>
    <w:rsid w:val="00F657EA"/>
    <w:rsid w:val="00F65981"/>
    <w:rsid w:val="00F65EAC"/>
    <w:rsid w:val="00F664EE"/>
    <w:rsid w:val="00F67271"/>
    <w:rsid w:val="00F67488"/>
    <w:rsid w:val="00F675AD"/>
    <w:rsid w:val="00F675EB"/>
    <w:rsid w:val="00F704FC"/>
    <w:rsid w:val="00F70737"/>
    <w:rsid w:val="00F712C1"/>
    <w:rsid w:val="00F715AF"/>
    <w:rsid w:val="00F7177B"/>
    <w:rsid w:val="00F71B69"/>
    <w:rsid w:val="00F7282B"/>
    <w:rsid w:val="00F730F7"/>
    <w:rsid w:val="00F7335B"/>
    <w:rsid w:val="00F735ED"/>
    <w:rsid w:val="00F73777"/>
    <w:rsid w:val="00F7602A"/>
    <w:rsid w:val="00F76509"/>
    <w:rsid w:val="00F76E3B"/>
    <w:rsid w:val="00F76FFD"/>
    <w:rsid w:val="00F77436"/>
    <w:rsid w:val="00F77D05"/>
    <w:rsid w:val="00F80009"/>
    <w:rsid w:val="00F801DD"/>
    <w:rsid w:val="00F81C22"/>
    <w:rsid w:val="00F81D69"/>
    <w:rsid w:val="00F83751"/>
    <w:rsid w:val="00F83E5A"/>
    <w:rsid w:val="00F84EA8"/>
    <w:rsid w:val="00F870AC"/>
    <w:rsid w:val="00F874E5"/>
    <w:rsid w:val="00F90384"/>
    <w:rsid w:val="00F90E27"/>
    <w:rsid w:val="00F91173"/>
    <w:rsid w:val="00F918B2"/>
    <w:rsid w:val="00F919C2"/>
    <w:rsid w:val="00F92043"/>
    <w:rsid w:val="00F92CF4"/>
    <w:rsid w:val="00F9392B"/>
    <w:rsid w:val="00F948BC"/>
    <w:rsid w:val="00F94CB3"/>
    <w:rsid w:val="00F956E9"/>
    <w:rsid w:val="00F95715"/>
    <w:rsid w:val="00F9593E"/>
    <w:rsid w:val="00F95B62"/>
    <w:rsid w:val="00F96A78"/>
    <w:rsid w:val="00F96CD9"/>
    <w:rsid w:val="00F96FBA"/>
    <w:rsid w:val="00FA062A"/>
    <w:rsid w:val="00FA0BD5"/>
    <w:rsid w:val="00FA0C4F"/>
    <w:rsid w:val="00FA20C4"/>
    <w:rsid w:val="00FA2C14"/>
    <w:rsid w:val="00FA2E2B"/>
    <w:rsid w:val="00FA3D70"/>
    <w:rsid w:val="00FA3FC3"/>
    <w:rsid w:val="00FA41CB"/>
    <w:rsid w:val="00FA4341"/>
    <w:rsid w:val="00FA47F4"/>
    <w:rsid w:val="00FA4C18"/>
    <w:rsid w:val="00FA4F68"/>
    <w:rsid w:val="00FA5A88"/>
    <w:rsid w:val="00FA78DC"/>
    <w:rsid w:val="00FA7DEF"/>
    <w:rsid w:val="00FB0320"/>
    <w:rsid w:val="00FB0433"/>
    <w:rsid w:val="00FB0712"/>
    <w:rsid w:val="00FB0CAC"/>
    <w:rsid w:val="00FB10BC"/>
    <w:rsid w:val="00FB1724"/>
    <w:rsid w:val="00FB17A5"/>
    <w:rsid w:val="00FB17FE"/>
    <w:rsid w:val="00FB1BD1"/>
    <w:rsid w:val="00FB1EAF"/>
    <w:rsid w:val="00FB278A"/>
    <w:rsid w:val="00FB27D2"/>
    <w:rsid w:val="00FB3126"/>
    <w:rsid w:val="00FB38D4"/>
    <w:rsid w:val="00FB3B88"/>
    <w:rsid w:val="00FB3C12"/>
    <w:rsid w:val="00FB472B"/>
    <w:rsid w:val="00FB515A"/>
    <w:rsid w:val="00FB5167"/>
    <w:rsid w:val="00FB637F"/>
    <w:rsid w:val="00FB7FD9"/>
    <w:rsid w:val="00FC0910"/>
    <w:rsid w:val="00FC0CB4"/>
    <w:rsid w:val="00FC2709"/>
    <w:rsid w:val="00FC2919"/>
    <w:rsid w:val="00FC3042"/>
    <w:rsid w:val="00FC33DC"/>
    <w:rsid w:val="00FC41D3"/>
    <w:rsid w:val="00FC4887"/>
    <w:rsid w:val="00FC4EEB"/>
    <w:rsid w:val="00FC5343"/>
    <w:rsid w:val="00FC63AE"/>
    <w:rsid w:val="00FC6F0F"/>
    <w:rsid w:val="00FC70F5"/>
    <w:rsid w:val="00FD0A90"/>
    <w:rsid w:val="00FD2942"/>
    <w:rsid w:val="00FD3F84"/>
    <w:rsid w:val="00FD43C5"/>
    <w:rsid w:val="00FD46F2"/>
    <w:rsid w:val="00FD5A5A"/>
    <w:rsid w:val="00FD7E30"/>
    <w:rsid w:val="00FE0319"/>
    <w:rsid w:val="00FE04AE"/>
    <w:rsid w:val="00FE08F6"/>
    <w:rsid w:val="00FE09A4"/>
    <w:rsid w:val="00FE20FB"/>
    <w:rsid w:val="00FE32F2"/>
    <w:rsid w:val="00FE4F49"/>
    <w:rsid w:val="00FE68C9"/>
    <w:rsid w:val="00FE7FEC"/>
    <w:rsid w:val="00FF0ED8"/>
    <w:rsid w:val="00FF108A"/>
    <w:rsid w:val="00FF1A9C"/>
    <w:rsid w:val="00FF1BAA"/>
    <w:rsid w:val="00FF1F26"/>
    <w:rsid w:val="00FF1FFD"/>
    <w:rsid w:val="00FF21A2"/>
    <w:rsid w:val="00FF3767"/>
    <w:rsid w:val="00FF37F0"/>
    <w:rsid w:val="00FF3B24"/>
    <w:rsid w:val="00FF48AB"/>
    <w:rsid w:val="00FF7274"/>
    <w:rsid w:val="01176D58"/>
    <w:rsid w:val="018F4239"/>
    <w:rsid w:val="01957D91"/>
    <w:rsid w:val="01F875D2"/>
    <w:rsid w:val="021E4941"/>
    <w:rsid w:val="0253628E"/>
    <w:rsid w:val="027611E1"/>
    <w:rsid w:val="0298CE83"/>
    <w:rsid w:val="0313FEF0"/>
    <w:rsid w:val="0316BDBA"/>
    <w:rsid w:val="0332A14B"/>
    <w:rsid w:val="036DD423"/>
    <w:rsid w:val="0373427A"/>
    <w:rsid w:val="03866C58"/>
    <w:rsid w:val="039FE576"/>
    <w:rsid w:val="03AB449A"/>
    <w:rsid w:val="0407F56A"/>
    <w:rsid w:val="04533EA3"/>
    <w:rsid w:val="046081AE"/>
    <w:rsid w:val="04AF2694"/>
    <w:rsid w:val="05B9699E"/>
    <w:rsid w:val="05C82BA1"/>
    <w:rsid w:val="05E4109C"/>
    <w:rsid w:val="065786A5"/>
    <w:rsid w:val="069048A8"/>
    <w:rsid w:val="06938C27"/>
    <w:rsid w:val="06A9B3D5"/>
    <w:rsid w:val="06B1458D"/>
    <w:rsid w:val="06ECEE52"/>
    <w:rsid w:val="07563CAA"/>
    <w:rsid w:val="07A7077C"/>
    <w:rsid w:val="07BD2197"/>
    <w:rsid w:val="07DB5A2A"/>
    <w:rsid w:val="08050428"/>
    <w:rsid w:val="082B4F1A"/>
    <w:rsid w:val="08735699"/>
    <w:rsid w:val="08C20AC6"/>
    <w:rsid w:val="08DB5433"/>
    <w:rsid w:val="09073F5C"/>
    <w:rsid w:val="0909417D"/>
    <w:rsid w:val="091994B8"/>
    <w:rsid w:val="0924CBDB"/>
    <w:rsid w:val="092513ED"/>
    <w:rsid w:val="096EDD03"/>
    <w:rsid w:val="09FF8F6A"/>
    <w:rsid w:val="0A4CF18F"/>
    <w:rsid w:val="0A6CD332"/>
    <w:rsid w:val="0AA14767"/>
    <w:rsid w:val="0AAD1653"/>
    <w:rsid w:val="0B261467"/>
    <w:rsid w:val="0B9E35C7"/>
    <w:rsid w:val="0BCCDD6C"/>
    <w:rsid w:val="0C4095F4"/>
    <w:rsid w:val="0C5DB498"/>
    <w:rsid w:val="0C64C144"/>
    <w:rsid w:val="0C6AAC86"/>
    <w:rsid w:val="0C872008"/>
    <w:rsid w:val="0C8AE946"/>
    <w:rsid w:val="0CC20EA2"/>
    <w:rsid w:val="0CF619A1"/>
    <w:rsid w:val="0D2A5869"/>
    <w:rsid w:val="0D4A10A8"/>
    <w:rsid w:val="0D59BA3F"/>
    <w:rsid w:val="0DAC409F"/>
    <w:rsid w:val="0DC702A7"/>
    <w:rsid w:val="0DEFB11E"/>
    <w:rsid w:val="0E8206BC"/>
    <w:rsid w:val="0EAFEC47"/>
    <w:rsid w:val="0EC4E909"/>
    <w:rsid w:val="0ED2B2BE"/>
    <w:rsid w:val="0EED7859"/>
    <w:rsid w:val="0F3CAB8D"/>
    <w:rsid w:val="0F5A119C"/>
    <w:rsid w:val="0F6DA5D3"/>
    <w:rsid w:val="0F89BC86"/>
    <w:rsid w:val="0F90DAAE"/>
    <w:rsid w:val="0FAA45E3"/>
    <w:rsid w:val="0FC201E4"/>
    <w:rsid w:val="0FE0F4F2"/>
    <w:rsid w:val="0FFCA80E"/>
    <w:rsid w:val="10088B27"/>
    <w:rsid w:val="103C6615"/>
    <w:rsid w:val="105632B0"/>
    <w:rsid w:val="107610F2"/>
    <w:rsid w:val="108D458E"/>
    <w:rsid w:val="11152D9F"/>
    <w:rsid w:val="114058BE"/>
    <w:rsid w:val="11447E63"/>
    <w:rsid w:val="117CEAED"/>
    <w:rsid w:val="11B78CBC"/>
    <w:rsid w:val="11C6D5C1"/>
    <w:rsid w:val="11E72902"/>
    <w:rsid w:val="11EFD3EC"/>
    <w:rsid w:val="12191A63"/>
    <w:rsid w:val="122A4E9A"/>
    <w:rsid w:val="13A6BF5F"/>
    <w:rsid w:val="13BB5962"/>
    <w:rsid w:val="13DD3D78"/>
    <w:rsid w:val="145DC891"/>
    <w:rsid w:val="14E67311"/>
    <w:rsid w:val="1697399D"/>
    <w:rsid w:val="16F6900B"/>
    <w:rsid w:val="16FB1066"/>
    <w:rsid w:val="1730E11D"/>
    <w:rsid w:val="1764C7B3"/>
    <w:rsid w:val="178DDF11"/>
    <w:rsid w:val="17A478BC"/>
    <w:rsid w:val="17B0898F"/>
    <w:rsid w:val="17D2022B"/>
    <w:rsid w:val="17E14604"/>
    <w:rsid w:val="18067828"/>
    <w:rsid w:val="183756BA"/>
    <w:rsid w:val="1846556F"/>
    <w:rsid w:val="18DC03AE"/>
    <w:rsid w:val="190C010E"/>
    <w:rsid w:val="1968976D"/>
    <w:rsid w:val="19692AA6"/>
    <w:rsid w:val="19DD1BD7"/>
    <w:rsid w:val="19EB61F5"/>
    <w:rsid w:val="19FAF323"/>
    <w:rsid w:val="1A384DB1"/>
    <w:rsid w:val="1AA78980"/>
    <w:rsid w:val="1B4B92A5"/>
    <w:rsid w:val="1B64A1E9"/>
    <w:rsid w:val="1B8A0372"/>
    <w:rsid w:val="1BD48D31"/>
    <w:rsid w:val="1BD4A051"/>
    <w:rsid w:val="1C0C5A31"/>
    <w:rsid w:val="1C51BC06"/>
    <w:rsid w:val="1C83613A"/>
    <w:rsid w:val="1CCBD27C"/>
    <w:rsid w:val="1CDBA9E4"/>
    <w:rsid w:val="1CFE86FD"/>
    <w:rsid w:val="1D417BCA"/>
    <w:rsid w:val="1D51D7CD"/>
    <w:rsid w:val="1D530228"/>
    <w:rsid w:val="1DAAD4AE"/>
    <w:rsid w:val="1E15EDA2"/>
    <w:rsid w:val="1E192734"/>
    <w:rsid w:val="1EABFDEC"/>
    <w:rsid w:val="1F1E7CE6"/>
    <w:rsid w:val="1F41CB9F"/>
    <w:rsid w:val="1F4A825F"/>
    <w:rsid w:val="1F679F55"/>
    <w:rsid w:val="1F6C8AD0"/>
    <w:rsid w:val="1F8B14AD"/>
    <w:rsid w:val="1FA6AD71"/>
    <w:rsid w:val="1FB38A28"/>
    <w:rsid w:val="20033D78"/>
    <w:rsid w:val="206B7714"/>
    <w:rsid w:val="207F0F63"/>
    <w:rsid w:val="20BC292C"/>
    <w:rsid w:val="20CF53F6"/>
    <w:rsid w:val="21B60DB6"/>
    <w:rsid w:val="22D72351"/>
    <w:rsid w:val="22DC6AD3"/>
    <w:rsid w:val="2303F23D"/>
    <w:rsid w:val="2323C3CE"/>
    <w:rsid w:val="245FD3EA"/>
    <w:rsid w:val="247DF559"/>
    <w:rsid w:val="24F74C23"/>
    <w:rsid w:val="251CC15D"/>
    <w:rsid w:val="2539E724"/>
    <w:rsid w:val="258B4DE9"/>
    <w:rsid w:val="262C81A2"/>
    <w:rsid w:val="26396B1F"/>
    <w:rsid w:val="266A0849"/>
    <w:rsid w:val="267855CF"/>
    <w:rsid w:val="2694EF7C"/>
    <w:rsid w:val="26973EA7"/>
    <w:rsid w:val="26BA848D"/>
    <w:rsid w:val="26FDA7D3"/>
    <w:rsid w:val="2715BE61"/>
    <w:rsid w:val="277C26C4"/>
    <w:rsid w:val="27DDA2D6"/>
    <w:rsid w:val="27F42F63"/>
    <w:rsid w:val="28C3B1CF"/>
    <w:rsid w:val="28C415ED"/>
    <w:rsid w:val="28E706B2"/>
    <w:rsid w:val="291C95A3"/>
    <w:rsid w:val="291D56B7"/>
    <w:rsid w:val="2923D3FB"/>
    <w:rsid w:val="29488C0F"/>
    <w:rsid w:val="2A24A52F"/>
    <w:rsid w:val="2A24FD22"/>
    <w:rsid w:val="2A5588D2"/>
    <w:rsid w:val="2A67F343"/>
    <w:rsid w:val="2A75E294"/>
    <w:rsid w:val="2AEBAB08"/>
    <w:rsid w:val="2B1FE43A"/>
    <w:rsid w:val="2B9AF859"/>
    <w:rsid w:val="2BCE3F0E"/>
    <w:rsid w:val="2C064BD5"/>
    <w:rsid w:val="2C43FD57"/>
    <w:rsid w:val="2CEC5ECB"/>
    <w:rsid w:val="2DDDF58A"/>
    <w:rsid w:val="2E037E8E"/>
    <w:rsid w:val="2E9C3106"/>
    <w:rsid w:val="2EE0CAAC"/>
    <w:rsid w:val="2F44831A"/>
    <w:rsid w:val="2F601CF6"/>
    <w:rsid w:val="2F6C5AD2"/>
    <w:rsid w:val="30768F53"/>
    <w:rsid w:val="30E63039"/>
    <w:rsid w:val="31621ECA"/>
    <w:rsid w:val="31B840C4"/>
    <w:rsid w:val="31C50FC7"/>
    <w:rsid w:val="3219F97A"/>
    <w:rsid w:val="3292DB2F"/>
    <w:rsid w:val="32BFE21D"/>
    <w:rsid w:val="32ECC2DF"/>
    <w:rsid w:val="3349CEE2"/>
    <w:rsid w:val="3364D986"/>
    <w:rsid w:val="3373D137"/>
    <w:rsid w:val="33996966"/>
    <w:rsid w:val="33AABA6B"/>
    <w:rsid w:val="33BB4FAF"/>
    <w:rsid w:val="33E084B8"/>
    <w:rsid w:val="340BE4E3"/>
    <w:rsid w:val="342AC784"/>
    <w:rsid w:val="34F3B305"/>
    <w:rsid w:val="35C0F8A8"/>
    <w:rsid w:val="36606037"/>
    <w:rsid w:val="367A3C74"/>
    <w:rsid w:val="36B2AAD4"/>
    <w:rsid w:val="36D22D88"/>
    <w:rsid w:val="36DC08B4"/>
    <w:rsid w:val="36E121A5"/>
    <w:rsid w:val="3722E4E2"/>
    <w:rsid w:val="37611188"/>
    <w:rsid w:val="378FED42"/>
    <w:rsid w:val="37B557B4"/>
    <w:rsid w:val="37E4C2C6"/>
    <w:rsid w:val="37FBE8CE"/>
    <w:rsid w:val="38349A9D"/>
    <w:rsid w:val="3862C594"/>
    <w:rsid w:val="38B3E210"/>
    <w:rsid w:val="3960C67A"/>
    <w:rsid w:val="396B996C"/>
    <w:rsid w:val="39AB1352"/>
    <w:rsid w:val="39F7DFB4"/>
    <w:rsid w:val="3A1E1CA4"/>
    <w:rsid w:val="3A52C43E"/>
    <w:rsid w:val="3AAA6AE1"/>
    <w:rsid w:val="3B00E1C8"/>
    <w:rsid w:val="3BBB7221"/>
    <w:rsid w:val="3BD5A46D"/>
    <w:rsid w:val="3C01C194"/>
    <w:rsid w:val="3C6AF148"/>
    <w:rsid w:val="3C8EEEAC"/>
    <w:rsid w:val="3CC7E3D8"/>
    <w:rsid w:val="3CDE7E98"/>
    <w:rsid w:val="3D33411B"/>
    <w:rsid w:val="3DC054F1"/>
    <w:rsid w:val="3DECCBE1"/>
    <w:rsid w:val="3E5C62D7"/>
    <w:rsid w:val="3EBF285A"/>
    <w:rsid w:val="3EE8377B"/>
    <w:rsid w:val="3FB7E596"/>
    <w:rsid w:val="40212750"/>
    <w:rsid w:val="40E6344A"/>
    <w:rsid w:val="426CD636"/>
    <w:rsid w:val="42751C99"/>
    <w:rsid w:val="42A8C75E"/>
    <w:rsid w:val="42FD33DE"/>
    <w:rsid w:val="432AFDD0"/>
    <w:rsid w:val="432C390B"/>
    <w:rsid w:val="43336065"/>
    <w:rsid w:val="4343AAF1"/>
    <w:rsid w:val="437D2C61"/>
    <w:rsid w:val="4382F1F0"/>
    <w:rsid w:val="43AB8634"/>
    <w:rsid w:val="43E1E636"/>
    <w:rsid w:val="4406C6AB"/>
    <w:rsid w:val="4426549C"/>
    <w:rsid w:val="44994374"/>
    <w:rsid w:val="449BC588"/>
    <w:rsid w:val="44B57CD5"/>
    <w:rsid w:val="44C368EF"/>
    <w:rsid w:val="44D2182D"/>
    <w:rsid w:val="44E60F3D"/>
    <w:rsid w:val="44EC2630"/>
    <w:rsid w:val="4503E8D6"/>
    <w:rsid w:val="459B203B"/>
    <w:rsid w:val="45EF8303"/>
    <w:rsid w:val="464839E7"/>
    <w:rsid w:val="4649DF49"/>
    <w:rsid w:val="46671F14"/>
    <w:rsid w:val="46798BB3"/>
    <w:rsid w:val="4694DAFC"/>
    <w:rsid w:val="46BD1EF5"/>
    <w:rsid w:val="46E0E07B"/>
    <w:rsid w:val="47291A5C"/>
    <w:rsid w:val="47443381"/>
    <w:rsid w:val="47C132DA"/>
    <w:rsid w:val="47DFACB6"/>
    <w:rsid w:val="48087A4F"/>
    <w:rsid w:val="484D9E69"/>
    <w:rsid w:val="486EA863"/>
    <w:rsid w:val="48A00553"/>
    <w:rsid w:val="48BC1329"/>
    <w:rsid w:val="498B1982"/>
    <w:rsid w:val="49965DB2"/>
    <w:rsid w:val="49B9A95C"/>
    <w:rsid w:val="4A354AB8"/>
    <w:rsid w:val="4A50731A"/>
    <w:rsid w:val="4A6224C2"/>
    <w:rsid w:val="4AA49807"/>
    <w:rsid w:val="4B096421"/>
    <w:rsid w:val="4BC605BA"/>
    <w:rsid w:val="4CE34398"/>
    <w:rsid w:val="4D194490"/>
    <w:rsid w:val="4D26EA00"/>
    <w:rsid w:val="4D4FDDAB"/>
    <w:rsid w:val="4D9EA107"/>
    <w:rsid w:val="4E73DBB0"/>
    <w:rsid w:val="4ED9AD36"/>
    <w:rsid w:val="4F1CD175"/>
    <w:rsid w:val="4F580A70"/>
    <w:rsid w:val="4FAC6218"/>
    <w:rsid w:val="4FF16390"/>
    <w:rsid w:val="502A8307"/>
    <w:rsid w:val="502AF649"/>
    <w:rsid w:val="502B3C6E"/>
    <w:rsid w:val="503EA3F6"/>
    <w:rsid w:val="5050EF5D"/>
    <w:rsid w:val="506B0956"/>
    <w:rsid w:val="514BBF70"/>
    <w:rsid w:val="525467AE"/>
    <w:rsid w:val="530823AD"/>
    <w:rsid w:val="53B2F3BB"/>
    <w:rsid w:val="53D5958C"/>
    <w:rsid w:val="53E1CB9C"/>
    <w:rsid w:val="542492D6"/>
    <w:rsid w:val="542BA9F8"/>
    <w:rsid w:val="54C2DFA1"/>
    <w:rsid w:val="54F59F1E"/>
    <w:rsid w:val="55237EEA"/>
    <w:rsid w:val="552B9E7E"/>
    <w:rsid w:val="552DB963"/>
    <w:rsid w:val="55CF4156"/>
    <w:rsid w:val="56037C80"/>
    <w:rsid w:val="56729A93"/>
    <w:rsid w:val="56929D31"/>
    <w:rsid w:val="57046D1D"/>
    <w:rsid w:val="57050C74"/>
    <w:rsid w:val="570966A6"/>
    <w:rsid w:val="57307B69"/>
    <w:rsid w:val="577C4CB3"/>
    <w:rsid w:val="577F943F"/>
    <w:rsid w:val="5790C636"/>
    <w:rsid w:val="582D7590"/>
    <w:rsid w:val="587A4E3B"/>
    <w:rsid w:val="58B3EF27"/>
    <w:rsid w:val="58B42BD7"/>
    <w:rsid w:val="58C441EF"/>
    <w:rsid w:val="58C83E3E"/>
    <w:rsid w:val="591C7DBE"/>
    <w:rsid w:val="592C154E"/>
    <w:rsid w:val="5999255E"/>
    <w:rsid w:val="59CBA3A2"/>
    <w:rsid w:val="59D9C672"/>
    <w:rsid w:val="5A05723F"/>
    <w:rsid w:val="5AB542FB"/>
    <w:rsid w:val="5AEE4A76"/>
    <w:rsid w:val="5BA5D547"/>
    <w:rsid w:val="5BD9F376"/>
    <w:rsid w:val="5C4AF772"/>
    <w:rsid w:val="5CD48724"/>
    <w:rsid w:val="5CF3B62A"/>
    <w:rsid w:val="5CF50C7A"/>
    <w:rsid w:val="5D6429CB"/>
    <w:rsid w:val="5DD6DCAF"/>
    <w:rsid w:val="5EAE35CF"/>
    <w:rsid w:val="5EB93D74"/>
    <w:rsid w:val="5EFB97FB"/>
    <w:rsid w:val="5F29DD33"/>
    <w:rsid w:val="5F3DB99B"/>
    <w:rsid w:val="5F5467A5"/>
    <w:rsid w:val="5F72EF14"/>
    <w:rsid w:val="5FB15C1E"/>
    <w:rsid w:val="5FBE75D8"/>
    <w:rsid w:val="6003D410"/>
    <w:rsid w:val="60058A6C"/>
    <w:rsid w:val="602CFF65"/>
    <w:rsid w:val="603D4B6C"/>
    <w:rsid w:val="605136A1"/>
    <w:rsid w:val="6064B632"/>
    <w:rsid w:val="60AAB3B5"/>
    <w:rsid w:val="60D2D255"/>
    <w:rsid w:val="61958306"/>
    <w:rsid w:val="619BC036"/>
    <w:rsid w:val="61AF398D"/>
    <w:rsid w:val="61F8CE2D"/>
    <w:rsid w:val="622CB08E"/>
    <w:rsid w:val="62951625"/>
    <w:rsid w:val="62F7F4BE"/>
    <w:rsid w:val="63AB7D46"/>
    <w:rsid w:val="63B4EFB8"/>
    <w:rsid w:val="64391522"/>
    <w:rsid w:val="64808931"/>
    <w:rsid w:val="6482816F"/>
    <w:rsid w:val="648CCB56"/>
    <w:rsid w:val="6496C717"/>
    <w:rsid w:val="64A7222C"/>
    <w:rsid w:val="64BE7CC7"/>
    <w:rsid w:val="652861D7"/>
    <w:rsid w:val="656E5210"/>
    <w:rsid w:val="65A09A88"/>
    <w:rsid w:val="65EB3C76"/>
    <w:rsid w:val="65FD6BC5"/>
    <w:rsid w:val="6617C60B"/>
    <w:rsid w:val="664CF878"/>
    <w:rsid w:val="6652594B"/>
    <w:rsid w:val="66648DC1"/>
    <w:rsid w:val="66BD7A7C"/>
    <w:rsid w:val="674A03AC"/>
    <w:rsid w:val="6768D68B"/>
    <w:rsid w:val="679A8FCD"/>
    <w:rsid w:val="67E0F9A8"/>
    <w:rsid w:val="680AD73C"/>
    <w:rsid w:val="680D36F3"/>
    <w:rsid w:val="6847CAE4"/>
    <w:rsid w:val="685EFC44"/>
    <w:rsid w:val="697C3439"/>
    <w:rsid w:val="6989390A"/>
    <w:rsid w:val="69B3550A"/>
    <w:rsid w:val="69F31127"/>
    <w:rsid w:val="6A3E25FF"/>
    <w:rsid w:val="6A52251E"/>
    <w:rsid w:val="6A7B3ADE"/>
    <w:rsid w:val="6AC13E01"/>
    <w:rsid w:val="6B1F8ABE"/>
    <w:rsid w:val="6B313673"/>
    <w:rsid w:val="6B35D2F3"/>
    <w:rsid w:val="6BD7295A"/>
    <w:rsid w:val="6BDB3B84"/>
    <w:rsid w:val="6C06843B"/>
    <w:rsid w:val="6C140E3E"/>
    <w:rsid w:val="6C28DFE8"/>
    <w:rsid w:val="6CB32BDF"/>
    <w:rsid w:val="6D0C394A"/>
    <w:rsid w:val="6D2F9B3A"/>
    <w:rsid w:val="6D9CBE1B"/>
    <w:rsid w:val="6DCC333F"/>
    <w:rsid w:val="6E3FFB02"/>
    <w:rsid w:val="6E536CDA"/>
    <w:rsid w:val="6E6849B1"/>
    <w:rsid w:val="6E81F140"/>
    <w:rsid w:val="6EBA51AF"/>
    <w:rsid w:val="6EDB2CEF"/>
    <w:rsid w:val="6FD56DCF"/>
    <w:rsid w:val="7027ACA2"/>
    <w:rsid w:val="70671946"/>
    <w:rsid w:val="7078E21D"/>
    <w:rsid w:val="707A7820"/>
    <w:rsid w:val="70AA8D6E"/>
    <w:rsid w:val="70E98AF8"/>
    <w:rsid w:val="710F5872"/>
    <w:rsid w:val="716F81DF"/>
    <w:rsid w:val="71D57814"/>
    <w:rsid w:val="71E21B64"/>
    <w:rsid w:val="722EA429"/>
    <w:rsid w:val="728AFD0D"/>
    <w:rsid w:val="7297F06F"/>
    <w:rsid w:val="72F2B1AF"/>
    <w:rsid w:val="733BAF41"/>
    <w:rsid w:val="736B20CE"/>
    <w:rsid w:val="73756F5F"/>
    <w:rsid w:val="7386733F"/>
    <w:rsid w:val="739D2FFC"/>
    <w:rsid w:val="739FCE4C"/>
    <w:rsid w:val="73EA2BDE"/>
    <w:rsid w:val="73F27C29"/>
    <w:rsid w:val="745F7D60"/>
    <w:rsid w:val="749A22A5"/>
    <w:rsid w:val="74A0CE47"/>
    <w:rsid w:val="74A9A6C4"/>
    <w:rsid w:val="74D775EC"/>
    <w:rsid w:val="75328099"/>
    <w:rsid w:val="753B5DB6"/>
    <w:rsid w:val="757D56A4"/>
    <w:rsid w:val="75A2574D"/>
    <w:rsid w:val="7608C7CB"/>
    <w:rsid w:val="761667E6"/>
    <w:rsid w:val="763A20C5"/>
    <w:rsid w:val="76BFA11D"/>
    <w:rsid w:val="76F99BE1"/>
    <w:rsid w:val="7702AEE2"/>
    <w:rsid w:val="773FB4FF"/>
    <w:rsid w:val="77650C65"/>
    <w:rsid w:val="776710D4"/>
    <w:rsid w:val="776E012A"/>
    <w:rsid w:val="7812F118"/>
    <w:rsid w:val="78542D7E"/>
    <w:rsid w:val="788C534A"/>
    <w:rsid w:val="78E63429"/>
    <w:rsid w:val="78E8ADC8"/>
    <w:rsid w:val="79016FE9"/>
    <w:rsid w:val="790549B4"/>
    <w:rsid w:val="79415BFF"/>
    <w:rsid w:val="79655D32"/>
    <w:rsid w:val="796E1A2D"/>
    <w:rsid w:val="7A44B659"/>
    <w:rsid w:val="7AEE6DC9"/>
    <w:rsid w:val="7B0EFE67"/>
    <w:rsid w:val="7B6218D1"/>
    <w:rsid w:val="7BA8ACE3"/>
    <w:rsid w:val="7BBF5C28"/>
    <w:rsid w:val="7BCC9B67"/>
    <w:rsid w:val="7C210279"/>
    <w:rsid w:val="7C435BB0"/>
    <w:rsid w:val="7C77AFA0"/>
    <w:rsid w:val="7CF60E24"/>
    <w:rsid w:val="7CFA4E2D"/>
    <w:rsid w:val="7DD4F507"/>
    <w:rsid w:val="7DF50BA3"/>
    <w:rsid w:val="7E58F7DD"/>
    <w:rsid w:val="7E8EAC33"/>
    <w:rsid w:val="7F6E9F9A"/>
    <w:rsid w:val="7F875CDF"/>
    <w:rsid w:val="7FD2E90D"/>
    <w:rsid w:val="7FDE66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0A5CD"/>
  <w15:docId w15:val="{F2E6DD6A-71B4-4D53-8021-CC264DB4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2"/>
        <w:szCs w:val="22"/>
        <w:lang w:val="en-AU"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7D3"/>
    <w:rPr>
      <w:rFonts w:ascii="Arial" w:hAnsi="Arial"/>
    </w:rPr>
  </w:style>
  <w:style w:type="paragraph" w:styleId="Heading1">
    <w:name w:val="heading 1"/>
    <w:basedOn w:val="Normal"/>
    <w:next w:val="Normal"/>
    <w:link w:val="Heading1Char"/>
    <w:uiPriority w:val="9"/>
    <w:qFormat/>
    <w:rsid w:val="00AD0696"/>
    <w:pPr>
      <w:keepNext/>
      <w:keepLines/>
      <w:spacing w:before="480"/>
      <w:outlineLvl w:val="0"/>
    </w:pPr>
    <w:rPr>
      <w:rFonts w:ascii="SansaSoft Pro SemiBold" w:eastAsiaTheme="majorEastAsia" w:hAnsi="SansaSoft Pro SemiBold" w:cstheme="majorBidi"/>
      <w:bCs/>
      <w:color w:val="B58C0A"/>
      <w:sz w:val="40"/>
      <w:szCs w:val="28"/>
    </w:rPr>
  </w:style>
  <w:style w:type="paragraph" w:styleId="Heading2">
    <w:name w:val="heading 2"/>
    <w:basedOn w:val="Normal"/>
    <w:next w:val="Normal"/>
    <w:link w:val="Heading2Char"/>
    <w:uiPriority w:val="9"/>
    <w:unhideWhenUsed/>
    <w:qFormat/>
    <w:rsid w:val="004B3B9E"/>
    <w:pPr>
      <w:keepNext/>
      <w:keepLines/>
      <w:spacing w:before="200"/>
      <w:outlineLvl w:val="1"/>
    </w:pPr>
    <w:rPr>
      <w:rFonts w:ascii="SansaSoft Pro Normal" w:eastAsiaTheme="majorEastAsia" w:hAnsi="SansaSoft Pro Normal" w:cstheme="majorBidi"/>
      <w:b/>
      <w:bCs/>
      <w:sz w:val="26"/>
      <w:szCs w:val="26"/>
    </w:rPr>
  </w:style>
  <w:style w:type="paragraph" w:styleId="Heading3">
    <w:name w:val="heading 3"/>
    <w:basedOn w:val="Normal"/>
    <w:next w:val="Normal"/>
    <w:link w:val="Heading3Char"/>
    <w:uiPriority w:val="9"/>
    <w:unhideWhenUsed/>
    <w:qFormat/>
    <w:rsid w:val="00C472C8"/>
    <w:pPr>
      <w:keepNext/>
      <w:keepLines/>
      <w:spacing w:before="200"/>
      <w:outlineLvl w:val="2"/>
    </w:pPr>
    <w:rPr>
      <w:rFonts w:eastAsiaTheme="majorEastAsia" w:cstheme="majorBidi"/>
      <w:b/>
      <w:bCs/>
      <w:color w:val="919296"/>
    </w:rPr>
  </w:style>
  <w:style w:type="paragraph" w:styleId="Heading4">
    <w:name w:val="heading 4"/>
    <w:basedOn w:val="Normal"/>
    <w:next w:val="Normal"/>
    <w:link w:val="Heading4Char"/>
    <w:uiPriority w:val="9"/>
    <w:unhideWhenUsed/>
    <w:qFormat/>
    <w:rsid w:val="00C472C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ingle bullet style,L,List Paragraph11,Recommendation,bullet point list,Bullet point,DDM Gen Text,List Paragraph - bullets,NFP GP Bulleted List,List Paragraph Number,List Paragraph2,Indented bullet,0Bullet,Bullets"/>
    <w:basedOn w:val="Normal"/>
    <w:link w:val="ListParagraphChar"/>
    <w:uiPriority w:val="34"/>
    <w:qFormat/>
    <w:rsid w:val="00833A14"/>
    <w:pPr>
      <w:ind w:left="720"/>
      <w:contextualSpacing/>
    </w:pPr>
  </w:style>
  <w:style w:type="paragraph" w:customStyle="1" w:styleId="Default">
    <w:name w:val="Default"/>
    <w:rsid w:val="007D5988"/>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7D5988"/>
    <w:rPr>
      <w:rFonts w:ascii="Calibri" w:hAnsi="Calibri"/>
      <w:szCs w:val="21"/>
    </w:rPr>
  </w:style>
  <w:style w:type="character" w:customStyle="1" w:styleId="PlainTextChar">
    <w:name w:val="Plain Text Char"/>
    <w:basedOn w:val="DefaultParagraphFont"/>
    <w:link w:val="PlainText"/>
    <w:uiPriority w:val="99"/>
    <w:rsid w:val="007D5988"/>
    <w:rPr>
      <w:rFonts w:ascii="Calibri" w:hAnsi="Calibri"/>
      <w:szCs w:val="21"/>
    </w:rPr>
  </w:style>
  <w:style w:type="character" w:customStyle="1" w:styleId="ListParagraphChar">
    <w:name w:val="List Paragraph Char"/>
    <w:aliases w:val="List Paragraph1 Char,Single bullet style Char,L Char,List Paragraph11 Char,Recommendation Char,bullet point list Char,Bullet point Char,DDM Gen Text Char,List Paragraph - bullets Char,NFP GP Bulleted List Char,List Paragraph2 Char"/>
    <w:basedOn w:val="DefaultParagraphFont"/>
    <w:link w:val="ListParagraph"/>
    <w:uiPriority w:val="34"/>
    <w:rsid w:val="007D5988"/>
  </w:style>
  <w:style w:type="character" w:styleId="Emphasis">
    <w:name w:val="Emphasis"/>
    <w:basedOn w:val="DefaultParagraphFont"/>
    <w:uiPriority w:val="20"/>
    <w:qFormat/>
    <w:rsid w:val="003A5DF9"/>
    <w:rPr>
      <w:i/>
      <w:iCs/>
    </w:rPr>
  </w:style>
  <w:style w:type="table" w:styleId="TableGrid">
    <w:name w:val="Table Grid"/>
    <w:basedOn w:val="TableNormal"/>
    <w:uiPriority w:val="39"/>
    <w:rsid w:val="008E2B2F"/>
    <w:pPr>
      <w:spacing w:after="0" w:line="240" w:lineRule="auto"/>
    </w:pPr>
    <w:rPr>
      <w:rFonts w:ascii="Arial" w:eastAsia="Times New Roman" w:hAnsi="Arial" w:cs="Times New Roman"/>
      <w:sz w:val="20"/>
      <w:szCs w:val="20"/>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rPr>
        <w:rFonts w:ascii="Arial" w:hAnsi="Arial"/>
        <w:color w:val="FFFFFF" w:themeColor="background1"/>
      </w:rPr>
      <w:tblPr/>
      <w:tcPr>
        <w:shd w:val="clear" w:color="auto" w:fill="C79D15"/>
      </w:tcPr>
    </w:tblStylePr>
    <w:tblStylePr w:type="band1Horz">
      <w:rPr>
        <w:color w:val="auto"/>
      </w:rPr>
      <w:tblPr/>
      <w:tcPr>
        <w:shd w:val="clear" w:color="auto" w:fill="FFFFFF" w:themeFill="background1"/>
      </w:tcPr>
    </w:tblStylePr>
    <w:tblStylePr w:type="band2Horz">
      <w:tblPr/>
      <w:tcPr>
        <w:shd w:val="clear" w:color="auto" w:fill="FFF6E0"/>
      </w:tcPr>
    </w:tblStylePr>
  </w:style>
  <w:style w:type="paragraph" w:customStyle="1" w:styleId="TableHeading">
    <w:name w:val="Table Heading"/>
    <w:basedOn w:val="Heading1"/>
    <w:autoRedefine/>
    <w:qFormat/>
    <w:rsid w:val="003E7CF9"/>
    <w:pPr>
      <w:keepLines w:val="0"/>
      <w:tabs>
        <w:tab w:val="left" w:pos="709"/>
      </w:tabs>
      <w:spacing w:before="360" w:line="300" w:lineRule="auto"/>
      <w:ind w:left="709" w:hanging="720"/>
    </w:pPr>
    <w:rPr>
      <w:rFonts w:ascii="Arial" w:eastAsia="Times New Roman" w:hAnsi="Arial" w:cs="Times New Roman"/>
      <w:bCs w:val="0"/>
      <w:color w:val="auto"/>
      <w:kern w:val="28"/>
      <w:sz w:val="20"/>
      <w:szCs w:val="22"/>
      <w:lang w:val="en-US"/>
    </w:rPr>
  </w:style>
  <w:style w:type="character" w:customStyle="1" w:styleId="Heading1Char">
    <w:name w:val="Heading 1 Char"/>
    <w:basedOn w:val="DefaultParagraphFont"/>
    <w:link w:val="Heading1"/>
    <w:uiPriority w:val="9"/>
    <w:rsid w:val="00AD0696"/>
    <w:rPr>
      <w:rFonts w:ascii="SansaSoft Pro SemiBold" w:eastAsiaTheme="majorEastAsia" w:hAnsi="SansaSoft Pro SemiBold" w:cstheme="majorBidi"/>
      <w:bCs/>
      <w:color w:val="B58C0A"/>
      <w:sz w:val="40"/>
      <w:szCs w:val="28"/>
    </w:rPr>
  </w:style>
  <w:style w:type="paragraph" w:customStyle="1" w:styleId="H2">
    <w:name w:val="H2"/>
    <w:basedOn w:val="Normal"/>
    <w:autoRedefine/>
    <w:rsid w:val="00FC2709"/>
    <w:pPr>
      <w:ind w:left="720" w:hanging="720"/>
      <w:jc w:val="center"/>
    </w:pPr>
    <w:rPr>
      <w:rFonts w:ascii="SansaSoft Pro SemiBold" w:hAnsi="SansaSoft Pro SemiBold"/>
      <w:b/>
      <w:sz w:val="20"/>
      <w:szCs w:val="20"/>
      <w:lang w:eastAsia="en-AU"/>
    </w:rPr>
  </w:style>
  <w:style w:type="paragraph" w:styleId="BalloonText">
    <w:name w:val="Balloon Text"/>
    <w:basedOn w:val="Normal"/>
    <w:link w:val="BalloonTextChar"/>
    <w:uiPriority w:val="99"/>
    <w:semiHidden/>
    <w:unhideWhenUsed/>
    <w:rsid w:val="0082440D"/>
    <w:rPr>
      <w:rFonts w:ascii="Tahoma" w:hAnsi="Tahoma" w:cs="Tahoma"/>
      <w:sz w:val="16"/>
      <w:szCs w:val="16"/>
    </w:rPr>
  </w:style>
  <w:style w:type="character" w:customStyle="1" w:styleId="BalloonTextChar">
    <w:name w:val="Balloon Text Char"/>
    <w:basedOn w:val="DefaultParagraphFont"/>
    <w:link w:val="BalloonText"/>
    <w:uiPriority w:val="99"/>
    <w:semiHidden/>
    <w:rsid w:val="0082440D"/>
    <w:rPr>
      <w:rFonts w:ascii="Tahoma" w:hAnsi="Tahoma" w:cs="Tahoma"/>
      <w:sz w:val="16"/>
      <w:szCs w:val="16"/>
    </w:rPr>
  </w:style>
  <w:style w:type="paragraph" w:styleId="Header">
    <w:name w:val="header"/>
    <w:basedOn w:val="Normal"/>
    <w:link w:val="HeaderChar"/>
    <w:uiPriority w:val="99"/>
    <w:unhideWhenUsed/>
    <w:rsid w:val="009D6EDD"/>
    <w:pPr>
      <w:tabs>
        <w:tab w:val="center" w:pos="4513"/>
        <w:tab w:val="right" w:pos="9026"/>
      </w:tabs>
    </w:pPr>
  </w:style>
  <w:style w:type="character" w:customStyle="1" w:styleId="HeaderChar">
    <w:name w:val="Header Char"/>
    <w:basedOn w:val="DefaultParagraphFont"/>
    <w:link w:val="Header"/>
    <w:uiPriority w:val="99"/>
    <w:rsid w:val="009D6EDD"/>
  </w:style>
  <w:style w:type="paragraph" w:styleId="Footer">
    <w:name w:val="footer"/>
    <w:basedOn w:val="Normal"/>
    <w:link w:val="FooterChar"/>
    <w:uiPriority w:val="99"/>
    <w:unhideWhenUsed/>
    <w:rsid w:val="00C1233C"/>
    <w:pPr>
      <w:tabs>
        <w:tab w:val="center" w:pos="4513"/>
        <w:tab w:val="right" w:pos="9026"/>
      </w:tabs>
    </w:pPr>
    <w:rPr>
      <w:sz w:val="18"/>
    </w:rPr>
  </w:style>
  <w:style w:type="character" w:customStyle="1" w:styleId="FooterChar">
    <w:name w:val="Footer Char"/>
    <w:basedOn w:val="DefaultParagraphFont"/>
    <w:link w:val="Footer"/>
    <w:uiPriority w:val="99"/>
    <w:rsid w:val="00C1233C"/>
    <w:rPr>
      <w:rFonts w:ascii="Arial" w:hAnsi="Arial"/>
      <w:sz w:val="18"/>
    </w:rPr>
  </w:style>
  <w:style w:type="paragraph" w:styleId="Title">
    <w:name w:val="Title"/>
    <w:basedOn w:val="Default"/>
    <w:next w:val="Default"/>
    <w:link w:val="TitleChar"/>
    <w:uiPriority w:val="10"/>
    <w:qFormat/>
    <w:rsid w:val="00F67271"/>
    <w:rPr>
      <w:rFonts w:ascii="Arial" w:hAnsi="Arial" w:cs="Arial"/>
      <w:color w:val="auto"/>
    </w:rPr>
  </w:style>
  <w:style w:type="character" w:customStyle="1" w:styleId="TitleChar">
    <w:name w:val="Title Char"/>
    <w:basedOn w:val="DefaultParagraphFont"/>
    <w:link w:val="Title"/>
    <w:uiPriority w:val="10"/>
    <w:rsid w:val="00F67271"/>
    <w:rPr>
      <w:rFonts w:ascii="Arial" w:hAnsi="Arial" w:cs="Arial"/>
      <w:sz w:val="24"/>
      <w:szCs w:val="24"/>
    </w:rPr>
  </w:style>
  <w:style w:type="character" w:styleId="CommentReference">
    <w:name w:val="annotation reference"/>
    <w:basedOn w:val="DefaultParagraphFont"/>
    <w:uiPriority w:val="99"/>
    <w:semiHidden/>
    <w:unhideWhenUsed/>
    <w:rsid w:val="000200AC"/>
    <w:rPr>
      <w:sz w:val="16"/>
      <w:szCs w:val="16"/>
    </w:rPr>
  </w:style>
  <w:style w:type="paragraph" w:styleId="CommentText">
    <w:name w:val="annotation text"/>
    <w:basedOn w:val="Normal"/>
    <w:link w:val="CommentTextChar"/>
    <w:uiPriority w:val="99"/>
    <w:unhideWhenUsed/>
    <w:rsid w:val="000200AC"/>
    <w:rPr>
      <w:sz w:val="20"/>
      <w:szCs w:val="20"/>
    </w:rPr>
  </w:style>
  <w:style w:type="character" w:customStyle="1" w:styleId="CommentTextChar">
    <w:name w:val="Comment Text Char"/>
    <w:basedOn w:val="DefaultParagraphFont"/>
    <w:link w:val="CommentText"/>
    <w:uiPriority w:val="99"/>
    <w:rsid w:val="000200AC"/>
    <w:rPr>
      <w:sz w:val="20"/>
      <w:szCs w:val="20"/>
    </w:rPr>
  </w:style>
  <w:style w:type="paragraph" w:styleId="CommentSubject">
    <w:name w:val="annotation subject"/>
    <w:basedOn w:val="CommentText"/>
    <w:next w:val="CommentText"/>
    <w:link w:val="CommentSubjectChar"/>
    <w:uiPriority w:val="99"/>
    <w:semiHidden/>
    <w:unhideWhenUsed/>
    <w:rsid w:val="000200AC"/>
    <w:rPr>
      <w:b/>
      <w:bCs/>
    </w:rPr>
  </w:style>
  <w:style w:type="character" w:customStyle="1" w:styleId="CommentSubjectChar">
    <w:name w:val="Comment Subject Char"/>
    <w:basedOn w:val="CommentTextChar"/>
    <w:link w:val="CommentSubject"/>
    <w:uiPriority w:val="99"/>
    <w:semiHidden/>
    <w:rsid w:val="000200AC"/>
    <w:rPr>
      <w:b/>
      <w:bCs/>
      <w:sz w:val="20"/>
      <w:szCs w:val="20"/>
    </w:rPr>
  </w:style>
  <w:style w:type="paragraph" w:styleId="TOCHeading">
    <w:name w:val="TOC Heading"/>
    <w:basedOn w:val="Heading1"/>
    <w:next w:val="Normal"/>
    <w:uiPriority w:val="39"/>
    <w:unhideWhenUsed/>
    <w:qFormat/>
    <w:rsid w:val="0040271B"/>
    <w:pPr>
      <w:outlineLvl w:val="9"/>
    </w:pPr>
    <w:rPr>
      <w:lang w:val="en-US" w:eastAsia="ja-JP"/>
    </w:rPr>
  </w:style>
  <w:style w:type="paragraph" w:styleId="TOC2">
    <w:name w:val="toc 2"/>
    <w:basedOn w:val="Normal"/>
    <w:next w:val="Normal"/>
    <w:autoRedefine/>
    <w:uiPriority w:val="39"/>
    <w:unhideWhenUsed/>
    <w:qFormat/>
    <w:rsid w:val="00417F94"/>
    <w:pPr>
      <w:tabs>
        <w:tab w:val="right" w:leader="dot" w:pos="9638"/>
      </w:tabs>
      <w:ind w:left="221"/>
    </w:pPr>
    <w:rPr>
      <w:rFonts w:eastAsiaTheme="minorEastAsia"/>
      <w:lang w:val="en-US" w:eastAsia="ja-JP"/>
    </w:rPr>
  </w:style>
  <w:style w:type="paragraph" w:styleId="TOC1">
    <w:name w:val="toc 1"/>
    <w:basedOn w:val="Normal"/>
    <w:next w:val="Normal"/>
    <w:autoRedefine/>
    <w:uiPriority w:val="39"/>
    <w:unhideWhenUsed/>
    <w:qFormat/>
    <w:rsid w:val="00E93D94"/>
    <w:pPr>
      <w:tabs>
        <w:tab w:val="right" w:leader="dot" w:pos="9638"/>
      </w:tabs>
      <w:spacing w:after="100"/>
    </w:pPr>
    <w:rPr>
      <w:rFonts w:eastAsiaTheme="minorEastAsia" w:cs="Arial"/>
      <w:noProof/>
      <w:lang w:eastAsia="en-AU"/>
    </w:rPr>
  </w:style>
  <w:style w:type="paragraph" w:styleId="TOC3">
    <w:name w:val="toc 3"/>
    <w:basedOn w:val="Normal"/>
    <w:next w:val="Normal"/>
    <w:autoRedefine/>
    <w:uiPriority w:val="39"/>
    <w:unhideWhenUsed/>
    <w:qFormat/>
    <w:rsid w:val="0040271B"/>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4B3B9E"/>
    <w:rPr>
      <w:rFonts w:ascii="SansaSoft Pro Normal" w:eastAsiaTheme="majorEastAsia" w:hAnsi="SansaSoft Pro Normal" w:cstheme="majorBidi"/>
      <w:b/>
      <w:bCs/>
      <w:sz w:val="26"/>
      <w:szCs w:val="26"/>
    </w:rPr>
  </w:style>
  <w:style w:type="character" w:styleId="Hyperlink">
    <w:name w:val="Hyperlink"/>
    <w:basedOn w:val="DefaultParagraphFont"/>
    <w:uiPriority w:val="99"/>
    <w:unhideWhenUsed/>
    <w:rsid w:val="00CC3A0E"/>
    <w:rPr>
      <w:color w:val="CC9900" w:themeColor="hyperlink"/>
      <w:u w:val="single"/>
    </w:rPr>
  </w:style>
  <w:style w:type="character" w:customStyle="1" w:styleId="Heading3Char">
    <w:name w:val="Heading 3 Char"/>
    <w:basedOn w:val="DefaultParagraphFont"/>
    <w:link w:val="Heading3"/>
    <w:uiPriority w:val="9"/>
    <w:rsid w:val="00C472C8"/>
    <w:rPr>
      <w:rFonts w:ascii="Arial" w:eastAsiaTheme="majorEastAsia" w:hAnsi="Arial" w:cstheme="majorBidi"/>
      <w:b/>
      <w:bCs/>
      <w:color w:val="919296"/>
      <w:sz w:val="24"/>
    </w:rPr>
  </w:style>
  <w:style w:type="character" w:styleId="FollowedHyperlink">
    <w:name w:val="FollowedHyperlink"/>
    <w:basedOn w:val="DefaultParagraphFont"/>
    <w:uiPriority w:val="99"/>
    <w:semiHidden/>
    <w:unhideWhenUsed/>
    <w:rsid w:val="00B8190B"/>
    <w:rPr>
      <w:color w:val="969696" w:themeColor="followedHyperlink"/>
      <w:u w:val="single"/>
    </w:rPr>
  </w:style>
  <w:style w:type="table" w:customStyle="1" w:styleId="TableGrid1">
    <w:name w:val="Table Grid1"/>
    <w:basedOn w:val="TableNormal"/>
    <w:next w:val="TableGrid"/>
    <w:uiPriority w:val="59"/>
    <w:rsid w:val="00F2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C7920"/>
    <w:rPr>
      <w:sz w:val="20"/>
      <w:szCs w:val="20"/>
    </w:rPr>
  </w:style>
  <w:style w:type="character" w:customStyle="1" w:styleId="FootnoteTextChar">
    <w:name w:val="Footnote Text Char"/>
    <w:basedOn w:val="DefaultParagraphFont"/>
    <w:link w:val="FootnoteText"/>
    <w:uiPriority w:val="99"/>
    <w:semiHidden/>
    <w:rsid w:val="003C7920"/>
    <w:rPr>
      <w:sz w:val="20"/>
      <w:szCs w:val="20"/>
    </w:rPr>
  </w:style>
  <w:style w:type="character" w:styleId="FootnoteReference">
    <w:name w:val="footnote reference"/>
    <w:basedOn w:val="DefaultParagraphFont"/>
    <w:uiPriority w:val="99"/>
    <w:semiHidden/>
    <w:unhideWhenUsed/>
    <w:rsid w:val="003C7920"/>
    <w:rPr>
      <w:vertAlign w:val="superscript"/>
    </w:rPr>
  </w:style>
  <w:style w:type="paragraph" w:styleId="EndnoteText">
    <w:name w:val="endnote text"/>
    <w:basedOn w:val="Normal"/>
    <w:link w:val="EndnoteTextChar"/>
    <w:uiPriority w:val="99"/>
    <w:semiHidden/>
    <w:unhideWhenUsed/>
    <w:rsid w:val="00DF329B"/>
    <w:rPr>
      <w:sz w:val="20"/>
      <w:szCs w:val="20"/>
    </w:rPr>
  </w:style>
  <w:style w:type="character" w:customStyle="1" w:styleId="EndnoteTextChar">
    <w:name w:val="Endnote Text Char"/>
    <w:basedOn w:val="DefaultParagraphFont"/>
    <w:link w:val="EndnoteText"/>
    <w:uiPriority w:val="99"/>
    <w:semiHidden/>
    <w:rsid w:val="00DF329B"/>
    <w:rPr>
      <w:rFonts w:ascii="Arial" w:hAnsi="Arial"/>
      <w:sz w:val="20"/>
      <w:szCs w:val="20"/>
    </w:rPr>
  </w:style>
  <w:style w:type="character" w:styleId="EndnoteReference">
    <w:name w:val="endnote reference"/>
    <w:basedOn w:val="DefaultParagraphFont"/>
    <w:uiPriority w:val="99"/>
    <w:semiHidden/>
    <w:unhideWhenUsed/>
    <w:rsid w:val="00DF329B"/>
    <w:rPr>
      <w:vertAlign w:val="superscript"/>
    </w:rPr>
  </w:style>
  <w:style w:type="character" w:customStyle="1" w:styleId="Heading4Char">
    <w:name w:val="Heading 4 Char"/>
    <w:basedOn w:val="DefaultParagraphFont"/>
    <w:link w:val="Heading4"/>
    <w:uiPriority w:val="9"/>
    <w:rsid w:val="00C472C8"/>
    <w:rPr>
      <w:rFonts w:ascii="Arial" w:hAnsi="Arial"/>
      <w:b/>
    </w:rPr>
  </w:style>
  <w:style w:type="character" w:styleId="Strong">
    <w:name w:val="Strong"/>
    <w:basedOn w:val="DefaultParagraphFont"/>
    <w:uiPriority w:val="22"/>
    <w:qFormat/>
    <w:rsid w:val="00654755"/>
    <w:rPr>
      <w:b/>
      <w:bCs/>
    </w:rPr>
  </w:style>
  <w:style w:type="character" w:customStyle="1" w:styleId="lexicon-term">
    <w:name w:val="lexicon-term"/>
    <w:basedOn w:val="DefaultParagraphFont"/>
    <w:rsid w:val="00654755"/>
    <w:rPr>
      <w:strike w:val="0"/>
      <w:dstrike w:val="0"/>
      <w:u w:val="none"/>
      <w:effect w:val="none"/>
    </w:rPr>
  </w:style>
  <w:style w:type="paragraph" w:styleId="Caption">
    <w:name w:val="caption"/>
    <w:basedOn w:val="Normal"/>
    <w:next w:val="Normal"/>
    <w:uiPriority w:val="35"/>
    <w:unhideWhenUsed/>
    <w:rsid w:val="00653E52"/>
    <w:pPr>
      <w:spacing w:after="200"/>
    </w:pPr>
    <w:rPr>
      <w:rFonts w:eastAsiaTheme="minorEastAsia"/>
      <w:b/>
      <w:bCs/>
      <w:color w:val="7A7A7A" w:themeColor="accent1"/>
      <w:sz w:val="18"/>
      <w:szCs w:val="18"/>
    </w:rPr>
  </w:style>
  <w:style w:type="paragraph" w:styleId="NormalWeb">
    <w:name w:val="Normal (Web)"/>
    <w:basedOn w:val="Normal"/>
    <w:uiPriority w:val="99"/>
    <w:unhideWhenUsed/>
    <w:rsid w:val="009D5E2B"/>
    <w:pPr>
      <w:spacing w:after="300"/>
    </w:pPr>
    <w:rPr>
      <w:lang w:eastAsia="en-AU"/>
    </w:rPr>
  </w:style>
  <w:style w:type="paragraph" w:styleId="Revision">
    <w:name w:val="Revision"/>
    <w:hidden/>
    <w:uiPriority w:val="99"/>
    <w:semiHidden/>
    <w:rsid w:val="005A63CB"/>
    <w:pPr>
      <w:spacing w:after="0" w:line="240" w:lineRule="auto"/>
    </w:pPr>
    <w:rPr>
      <w:rFonts w:ascii="Arial" w:hAnsi="Arial"/>
    </w:rPr>
  </w:style>
  <w:style w:type="paragraph" w:customStyle="1" w:styleId="xmsolistparagraph">
    <w:name w:val="x_msolistparagraph"/>
    <w:basedOn w:val="Normal"/>
    <w:rsid w:val="005378FE"/>
    <w:pPr>
      <w:spacing w:before="100" w:beforeAutospacing="1" w:after="100" w:afterAutospacing="1"/>
    </w:pPr>
  </w:style>
  <w:style w:type="character" w:customStyle="1" w:styleId="A7">
    <w:name w:val="A7"/>
    <w:uiPriority w:val="99"/>
    <w:rsid w:val="007738F6"/>
    <w:rPr>
      <w:rFonts w:cs="SansaSoft Pro Normal"/>
      <w:color w:val="403F41"/>
      <w:sz w:val="18"/>
      <w:szCs w:val="18"/>
    </w:rPr>
  </w:style>
  <w:style w:type="character" w:customStyle="1" w:styleId="UnresolvedMention1">
    <w:name w:val="Unresolved Mention1"/>
    <w:basedOn w:val="DefaultParagraphFont"/>
    <w:uiPriority w:val="99"/>
    <w:semiHidden/>
    <w:unhideWhenUsed/>
    <w:rsid w:val="001C4694"/>
    <w:rPr>
      <w:color w:val="605E5C"/>
      <w:shd w:val="clear" w:color="auto" w:fill="E1DFDD"/>
    </w:rPr>
  </w:style>
  <w:style w:type="character" w:customStyle="1" w:styleId="apple-converted-space">
    <w:name w:val="apple-converted-space"/>
    <w:basedOn w:val="DefaultParagraphFont"/>
    <w:rsid w:val="00F43AC4"/>
  </w:style>
  <w:style w:type="character" w:customStyle="1" w:styleId="UnresolvedMention2">
    <w:name w:val="Unresolved Mention2"/>
    <w:basedOn w:val="DefaultParagraphFont"/>
    <w:uiPriority w:val="99"/>
    <w:semiHidden/>
    <w:unhideWhenUsed/>
    <w:rsid w:val="005B53B3"/>
    <w:rPr>
      <w:color w:val="605E5C"/>
      <w:shd w:val="clear" w:color="auto" w:fill="E1DFDD"/>
    </w:rPr>
  </w:style>
  <w:style w:type="paragraph" w:customStyle="1" w:styleId="Bullet">
    <w:name w:val="Bullet"/>
    <w:basedOn w:val="ListParagraph"/>
    <w:autoRedefine/>
    <w:qFormat/>
    <w:rsid w:val="00A43206"/>
    <w:pPr>
      <w:numPr>
        <w:numId w:val="35"/>
      </w:numPr>
      <w:ind w:left="993"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0383">
      <w:bodyDiv w:val="1"/>
      <w:marLeft w:val="0"/>
      <w:marRight w:val="0"/>
      <w:marTop w:val="0"/>
      <w:marBottom w:val="0"/>
      <w:divBdr>
        <w:top w:val="none" w:sz="0" w:space="0" w:color="auto"/>
        <w:left w:val="none" w:sz="0" w:space="0" w:color="auto"/>
        <w:bottom w:val="none" w:sz="0" w:space="0" w:color="auto"/>
        <w:right w:val="none" w:sz="0" w:space="0" w:color="auto"/>
      </w:divBdr>
    </w:div>
    <w:div w:id="86198195">
      <w:bodyDiv w:val="1"/>
      <w:marLeft w:val="0"/>
      <w:marRight w:val="0"/>
      <w:marTop w:val="0"/>
      <w:marBottom w:val="0"/>
      <w:divBdr>
        <w:top w:val="none" w:sz="0" w:space="0" w:color="auto"/>
        <w:left w:val="none" w:sz="0" w:space="0" w:color="auto"/>
        <w:bottom w:val="none" w:sz="0" w:space="0" w:color="auto"/>
        <w:right w:val="none" w:sz="0" w:space="0" w:color="auto"/>
      </w:divBdr>
    </w:div>
    <w:div w:id="108937097">
      <w:bodyDiv w:val="1"/>
      <w:marLeft w:val="0"/>
      <w:marRight w:val="0"/>
      <w:marTop w:val="0"/>
      <w:marBottom w:val="0"/>
      <w:divBdr>
        <w:top w:val="none" w:sz="0" w:space="0" w:color="auto"/>
        <w:left w:val="none" w:sz="0" w:space="0" w:color="auto"/>
        <w:bottom w:val="none" w:sz="0" w:space="0" w:color="auto"/>
        <w:right w:val="none" w:sz="0" w:space="0" w:color="auto"/>
      </w:divBdr>
      <w:divsChild>
        <w:div w:id="1481311916">
          <w:marLeft w:val="0"/>
          <w:marRight w:val="0"/>
          <w:marTop w:val="0"/>
          <w:marBottom w:val="0"/>
          <w:divBdr>
            <w:top w:val="none" w:sz="0" w:space="0" w:color="auto"/>
            <w:left w:val="none" w:sz="0" w:space="0" w:color="auto"/>
            <w:bottom w:val="none" w:sz="0" w:space="0" w:color="auto"/>
            <w:right w:val="none" w:sz="0" w:space="0" w:color="auto"/>
          </w:divBdr>
          <w:divsChild>
            <w:div w:id="7273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5639">
      <w:bodyDiv w:val="1"/>
      <w:marLeft w:val="0"/>
      <w:marRight w:val="0"/>
      <w:marTop w:val="0"/>
      <w:marBottom w:val="0"/>
      <w:divBdr>
        <w:top w:val="none" w:sz="0" w:space="0" w:color="auto"/>
        <w:left w:val="none" w:sz="0" w:space="0" w:color="auto"/>
        <w:bottom w:val="none" w:sz="0" w:space="0" w:color="auto"/>
        <w:right w:val="none" w:sz="0" w:space="0" w:color="auto"/>
      </w:divBdr>
    </w:div>
    <w:div w:id="190187448">
      <w:bodyDiv w:val="1"/>
      <w:marLeft w:val="0"/>
      <w:marRight w:val="0"/>
      <w:marTop w:val="0"/>
      <w:marBottom w:val="0"/>
      <w:divBdr>
        <w:top w:val="none" w:sz="0" w:space="0" w:color="auto"/>
        <w:left w:val="none" w:sz="0" w:space="0" w:color="auto"/>
        <w:bottom w:val="none" w:sz="0" w:space="0" w:color="auto"/>
        <w:right w:val="none" w:sz="0" w:space="0" w:color="auto"/>
      </w:divBdr>
    </w:div>
    <w:div w:id="251551836">
      <w:bodyDiv w:val="1"/>
      <w:marLeft w:val="0"/>
      <w:marRight w:val="0"/>
      <w:marTop w:val="0"/>
      <w:marBottom w:val="0"/>
      <w:divBdr>
        <w:top w:val="none" w:sz="0" w:space="0" w:color="auto"/>
        <w:left w:val="none" w:sz="0" w:space="0" w:color="auto"/>
        <w:bottom w:val="none" w:sz="0" w:space="0" w:color="auto"/>
        <w:right w:val="none" w:sz="0" w:space="0" w:color="auto"/>
      </w:divBdr>
    </w:div>
    <w:div w:id="294913579">
      <w:bodyDiv w:val="1"/>
      <w:marLeft w:val="0"/>
      <w:marRight w:val="0"/>
      <w:marTop w:val="0"/>
      <w:marBottom w:val="0"/>
      <w:divBdr>
        <w:top w:val="none" w:sz="0" w:space="0" w:color="auto"/>
        <w:left w:val="none" w:sz="0" w:space="0" w:color="auto"/>
        <w:bottom w:val="none" w:sz="0" w:space="0" w:color="auto"/>
        <w:right w:val="none" w:sz="0" w:space="0" w:color="auto"/>
      </w:divBdr>
    </w:div>
    <w:div w:id="313489047">
      <w:bodyDiv w:val="1"/>
      <w:marLeft w:val="0"/>
      <w:marRight w:val="0"/>
      <w:marTop w:val="0"/>
      <w:marBottom w:val="0"/>
      <w:divBdr>
        <w:top w:val="none" w:sz="0" w:space="0" w:color="auto"/>
        <w:left w:val="none" w:sz="0" w:space="0" w:color="auto"/>
        <w:bottom w:val="none" w:sz="0" w:space="0" w:color="auto"/>
        <w:right w:val="none" w:sz="0" w:space="0" w:color="auto"/>
      </w:divBdr>
    </w:div>
    <w:div w:id="321156912">
      <w:bodyDiv w:val="1"/>
      <w:marLeft w:val="0"/>
      <w:marRight w:val="0"/>
      <w:marTop w:val="0"/>
      <w:marBottom w:val="0"/>
      <w:divBdr>
        <w:top w:val="none" w:sz="0" w:space="0" w:color="auto"/>
        <w:left w:val="none" w:sz="0" w:space="0" w:color="auto"/>
        <w:bottom w:val="none" w:sz="0" w:space="0" w:color="auto"/>
        <w:right w:val="none" w:sz="0" w:space="0" w:color="auto"/>
      </w:divBdr>
    </w:div>
    <w:div w:id="325592223">
      <w:bodyDiv w:val="1"/>
      <w:marLeft w:val="0"/>
      <w:marRight w:val="0"/>
      <w:marTop w:val="0"/>
      <w:marBottom w:val="0"/>
      <w:divBdr>
        <w:top w:val="none" w:sz="0" w:space="0" w:color="auto"/>
        <w:left w:val="none" w:sz="0" w:space="0" w:color="auto"/>
        <w:bottom w:val="none" w:sz="0" w:space="0" w:color="auto"/>
        <w:right w:val="none" w:sz="0" w:space="0" w:color="auto"/>
      </w:divBdr>
    </w:div>
    <w:div w:id="372660290">
      <w:bodyDiv w:val="1"/>
      <w:marLeft w:val="0"/>
      <w:marRight w:val="0"/>
      <w:marTop w:val="0"/>
      <w:marBottom w:val="0"/>
      <w:divBdr>
        <w:top w:val="none" w:sz="0" w:space="0" w:color="auto"/>
        <w:left w:val="none" w:sz="0" w:space="0" w:color="auto"/>
        <w:bottom w:val="none" w:sz="0" w:space="0" w:color="auto"/>
        <w:right w:val="none" w:sz="0" w:space="0" w:color="auto"/>
      </w:divBdr>
    </w:div>
    <w:div w:id="396897044">
      <w:bodyDiv w:val="1"/>
      <w:marLeft w:val="0"/>
      <w:marRight w:val="0"/>
      <w:marTop w:val="0"/>
      <w:marBottom w:val="0"/>
      <w:divBdr>
        <w:top w:val="none" w:sz="0" w:space="0" w:color="auto"/>
        <w:left w:val="none" w:sz="0" w:space="0" w:color="auto"/>
        <w:bottom w:val="none" w:sz="0" w:space="0" w:color="auto"/>
        <w:right w:val="none" w:sz="0" w:space="0" w:color="auto"/>
      </w:divBdr>
    </w:div>
    <w:div w:id="399137977">
      <w:bodyDiv w:val="1"/>
      <w:marLeft w:val="0"/>
      <w:marRight w:val="0"/>
      <w:marTop w:val="0"/>
      <w:marBottom w:val="0"/>
      <w:divBdr>
        <w:top w:val="none" w:sz="0" w:space="0" w:color="auto"/>
        <w:left w:val="none" w:sz="0" w:space="0" w:color="auto"/>
        <w:bottom w:val="none" w:sz="0" w:space="0" w:color="auto"/>
        <w:right w:val="none" w:sz="0" w:space="0" w:color="auto"/>
      </w:divBdr>
    </w:div>
    <w:div w:id="459498408">
      <w:bodyDiv w:val="1"/>
      <w:marLeft w:val="0"/>
      <w:marRight w:val="0"/>
      <w:marTop w:val="0"/>
      <w:marBottom w:val="0"/>
      <w:divBdr>
        <w:top w:val="none" w:sz="0" w:space="0" w:color="auto"/>
        <w:left w:val="none" w:sz="0" w:space="0" w:color="auto"/>
        <w:bottom w:val="none" w:sz="0" w:space="0" w:color="auto"/>
        <w:right w:val="none" w:sz="0" w:space="0" w:color="auto"/>
      </w:divBdr>
    </w:div>
    <w:div w:id="493452940">
      <w:bodyDiv w:val="1"/>
      <w:marLeft w:val="0"/>
      <w:marRight w:val="0"/>
      <w:marTop w:val="0"/>
      <w:marBottom w:val="0"/>
      <w:divBdr>
        <w:top w:val="none" w:sz="0" w:space="0" w:color="auto"/>
        <w:left w:val="none" w:sz="0" w:space="0" w:color="auto"/>
        <w:bottom w:val="none" w:sz="0" w:space="0" w:color="auto"/>
        <w:right w:val="none" w:sz="0" w:space="0" w:color="auto"/>
      </w:divBdr>
    </w:div>
    <w:div w:id="494496646">
      <w:bodyDiv w:val="1"/>
      <w:marLeft w:val="0"/>
      <w:marRight w:val="0"/>
      <w:marTop w:val="0"/>
      <w:marBottom w:val="0"/>
      <w:divBdr>
        <w:top w:val="none" w:sz="0" w:space="0" w:color="auto"/>
        <w:left w:val="none" w:sz="0" w:space="0" w:color="auto"/>
        <w:bottom w:val="none" w:sz="0" w:space="0" w:color="auto"/>
        <w:right w:val="none" w:sz="0" w:space="0" w:color="auto"/>
      </w:divBdr>
    </w:div>
    <w:div w:id="616566952">
      <w:bodyDiv w:val="1"/>
      <w:marLeft w:val="0"/>
      <w:marRight w:val="0"/>
      <w:marTop w:val="0"/>
      <w:marBottom w:val="0"/>
      <w:divBdr>
        <w:top w:val="none" w:sz="0" w:space="0" w:color="auto"/>
        <w:left w:val="none" w:sz="0" w:space="0" w:color="auto"/>
        <w:bottom w:val="none" w:sz="0" w:space="0" w:color="auto"/>
        <w:right w:val="none" w:sz="0" w:space="0" w:color="auto"/>
      </w:divBdr>
      <w:divsChild>
        <w:div w:id="641663641">
          <w:marLeft w:val="0"/>
          <w:marRight w:val="0"/>
          <w:marTop w:val="0"/>
          <w:marBottom w:val="0"/>
          <w:divBdr>
            <w:top w:val="none" w:sz="0" w:space="0" w:color="auto"/>
            <w:left w:val="none" w:sz="0" w:space="0" w:color="auto"/>
            <w:bottom w:val="none" w:sz="0" w:space="0" w:color="auto"/>
            <w:right w:val="none" w:sz="0" w:space="0" w:color="auto"/>
          </w:divBdr>
        </w:div>
        <w:div w:id="821501448">
          <w:marLeft w:val="0"/>
          <w:marRight w:val="0"/>
          <w:marTop w:val="0"/>
          <w:marBottom w:val="0"/>
          <w:divBdr>
            <w:top w:val="none" w:sz="0" w:space="0" w:color="auto"/>
            <w:left w:val="none" w:sz="0" w:space="0" w:color="auto"/>
            <w:bottom w:val="none" w:sz="0" w:space="0" w:color="auto"/>
            <w:right w:val="none" w:sz="0" w:space="0" w:color="auto"/>
          </w:divBdr>
        </w:div>
        <w:div w:id="1476024264">
          <w:marLeft w:val="0"/>
          <w:marRight w:val="0"/>
          <w:marTop w:val="0"/>
          <w:marBottom w:val="0"/>
          <w:divBdr>
            <w:top w:val="none" w:sz="0" w:space="0" w:color="auto"/>
            <w:left w:val="none" w:sz="0" w:space="0" w:color="auto"/>
            <w:bottom w:val="none" w:sz="0" w:space="0" w:color="auto"/>
            <w:right w:val="none" w:sz="0" w:space="0" w:color="auto"/>
          </w:divBdr>
        </w:div>
      </w:divsChild>
    </w:div>
    <w:div w:id="680014847">
      <w:bodyDiv w:val="1"/>
      <w:marLeft w:val="0"/>
      <w:marRight w:val="0"/>
      <w:marTop w:val="0"/>
      <w:marBottom w:val="0"/>
      <w:divBdr>
        <w:top w:val="none" w:sz="0" w:space="0" w:color="auto"/>
        <w:left w:val="none" w:sz="0" w:space="0" w:color="auto"/>
        <w:bottom w:val="none" w:sz="0" w:space="0" w:color="auto"/>
        <w:right w:val="none" w:sz="0" w:space="0" w:color="auto"/>
      </w:divBdr>
    </w:div>
    <w:div w:id="726143825">
      <w:bodyDiv w:val="1"/>
      <w:marLeft w:val="0"/>
      <w:marRight w:val="0"/>
      <w:marTop w:val="0"/>
      <w:marBottom w:val="0"/>
      <w:divBdr>
        <w:top w:val="none" w:sz="0" w:space="0" w:color="auto"/>
        <w:left w:val="none" w:sz="0" w:space="0" w:color="auto"/>
        <w:bottom w:val="none" w:sz="0" w:space="0" w:color="auto"/>
        <w:right w:val="none" w:sz="0" w:space="0" w:color="auto"/>
      </w:divBdr>
    </w:div>
    <w:div w:id="870530927">
      <w:bodyDiv w:val="1"/>
      <w:marLeft w:val="0"/>
      <w:marRight w:val="0"/>
      <w:marTop w:val="0"/>
      <w:marBottom w:val="0"/>
      <w:divBdr>
        <w:top w:val="none" w:sz="0" w:space="0" w:color="auto"/>
        <w:left w:val="none" w:sz="0" w:space="0" w:color="auto"/>
        <w:bottom w:val="none" w:sz="0" w:space="0" w:color="auto"/>
        <w:right w:val="none" w:sz="0" w:space="0" w:color="auto"/>
      </w:divBdr>
    </w:div>
    <w:div w:id="886798006">
      <w:bodyDiv w:val="1"/>
      <w:marLeft w:val="0"/>
      <w:marRight w:val="0"/>
      <w:marTop w:val="0"/>
      <w:marBottom w:val="0"/>
      <w:divBdr>
        <w:top w:val="none" w:sz="0" w:space="0" w:color="auto"/>
        <w:left w:val="none" w:sz="0" w:space="0" w:color="auto"/>
        <w:bottom w:val="none" w:sz="0" w:space="0" w:color="auto"/>
        <w:right w:val="none" w:sz="0" w:space="0" w:color="auto"/>
      </w:divBdr>
    </w:div>
    <w:div w:id="947735828">
      <w:bodyDiv w:val="1"/>
      <w:marLeft w:val="0"/>
      <w:marRight w:val="0"/>
      <w:marTop w:val="0"/>
      <w:marBottom w:val="0"/>
      <w:divBdr>
        <w:top w:val="none" w:sz="0" w:space="0" w:color="auto"/>
        <w:left w:val="none" w:sz="0" w:space="0" w:color="auto"/>
        <w:bottom w:val="none" w:sz="0" w:space="0" w:color="auto"/>
        <w:right w:val="none" w:sz="0" w:space="0" w:color="auto"/>
      </w:divBdr>
    </w:div>
    <w:div w:id="951321748">
      <w:bodyDiv w:val="1"/>
      <w:marLeft w:val="0"/>
      <w:marRight w:val="0"/>
      <w:marTop w:val="0"/>
      <w:marBottom w:val="0"/>
      <w:divBdr>
        <w:top w:val="none" w:sz="0" w:space="0" w:color="auto"/>
        <w:left w:val="none" w:sz="0" w:space="0" w:color="auto"/>
        <w:bottom w:val="none" w:sz="0" w:space="0" w:color="auto"/>
        <w:right w:val="none" w:sz="0" w:space="0" w:color="auto"/>
      </w:divBdr>
    </w:div>
    <w:div w:id="959264892">
      <w:bodyDiv w:val="1"/>
      <w:marLeft w:val="0"/>
      <w:marRight w:val="0"/>
      <w:marTop w:val="0"/>
      <w:marBottom w:val="0"/>
      <w:divBdr>
        <w:top w:val="none" w:sz="0" w:space="0" w:color="auto"/>
        <w:left w:val="none" w:sz="0" w:space="0" w:color="auto"/>
        <w:bottom w:val="none" w:sz="0" w:space="0" w:color="auto"/>
        <w:right w:val="none" w:sz="0" w:space="0" w:color="auto"/>
      </w:divBdr>
    </w:div>
    <w:div w:id="966544168">
      <w:bodyDiv w:val="1"/>
      <w:marLeft w:val="0"/>
      <w:marRight w:val="0"/>
      <w:marTop w:val="0"/>
      <w:marBottom w:val="0"/>
      <w:divBdr>
        <w:top w:val="none" w:sz="0" w:space="0" w:color="auto"/>
        <w:left w:val="none" w:sz="0" w:space="0" w:color="auto"/>
        <w:bottom w:val="none" w:sz="0" w:space="0" w:color="auto"/>
        <w:right w:val="none" w:sz="0" w:space="0" w:color="auto"/>
      </w:divBdr>
    </w:div>
    <w:div w:id="1102258445">
      <w:bodyDiv w:val="1"/>
      <w:marLeft w:val="0"/>
      <w:marRight w:val="0"/>
      <w:marTop w:val="0"/>
      <w:marBottom w:val="0"/>
      <w:divBdr>
        <w:top w:val="none" w:sz="0" w:space="0" w:color="auto"/>
        <w:left w:val="none" w:sz="0" w:space="0" w:color="auto"/>
        <w:bottom w:val="none" w:sz="0" w:space="0" w:color="auto"/>
        <w:right w:val="none" w:sz="0" w:space="0" w:color="auto"/>
      </w:divBdr>
    </w:div>
    <w:div w:id="1105688242">
      <w:bodyDiv w:val="1"/>
      <w:marLeft w:val="0"/>
      <w:marRight w:val="0"/>
      <w:marTop w:val="0"/>
      <w:marBottom w:val="0"/>
      <w:divBdr>
        <w:top w:val="none" w:sz="0" w:space="0" w:color="auto"/>
        <w:left w:val="none" w:sz="0" w:space="0" w:color="auto"/>
        <w:bottom w:val="none" w:sz="0" w:space="0" w:color="auto"/>
        <w:right w:val="none" w:sz="0" w:space="0" w:color="auto"/>
      </w:divBdr>
    </w:div>
    <w:div w:id="1113867668">
      <w:bodyDiv w:val="1"/>
      <w:marLeft w:val="0"/>
      <w:marRight w:val="0"/>
      <w:marTop w:val="0"/>
      <w:marBottom w:val="0"/>
      <w:divBdr>
        <w:top w:val="none" w:sz="0" w:space="0" w:color="auto"/>
        <w:left w:val="none" w:sz="0" w:space="0" w:color="auto"/>
        <w:bottom w:val="none" w:sz="0" w:space="0" w:color="auto"/>
        <w:right w:val="none" w:sz="0" w:space="0" w:color="auto"/>
      </w:divBdr>
    </w:div>
    <w:div w:id="1130394291">
      <w:bodyDiv w:val="1"/>
      <w:marLeft w:val="0"/>
      <w:marRight w:val="0"/>
      <w:marTop w:val="0"/>
      <w:marBottom w:val="0"/>
      <w:divBdr>
        <w:top w:val="none" w:sz="0" w:space="0" w:color="auto"/>
        <w:left w:val="none" w:sz="0" w:space="0" w:color="auto"/>
        <w:bottom w:val="none" w:sz="0" w:space="0" w:color="auto"/>
        <w:right w:val="none" w:sz="0" w:space="0" w:color="auto"/>
      </w:divBdr>
    </w:div>
    <w:div w:id="1208838955">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1253785130">
      <w:bodyDiv w:val="1"/>
      <w:marLeft w:val="0"/>
      <w:marRight w:val="0"/>
      <w:marTop w:val="0"/>
      <w:marBottom w:val="0"/>
      <w:divBdr>
        <w:top w:val="none" w:sz="0" w:space="0" w:color="auto"/>
        <w:left w:val="none" w:sz="0" w:space="0" w:color="auto"/>
        <w:bottom w:val="none" w:sz="0" w:space="0" w:color="auto"/>
        <w:right w:val="none" w:sz="0" w:space="0" w:color="auto"/>
      </w:divBdr>
    </w:div>
    <w:div w:id="1270695118">
      <w:bodyDiv w:val="1"/>
      <w:marLeft w:val="0"/>
      <w:marRight w:val="0"/>
      <w:marTop w:val="0"/>
      <w:marBottom w:val="0"/>
      <w:divBdr>
        <w:top w:val="none" w:sz="0" w:space="0" w:color="auto"/>
        <w:left w:val="none" w:sz="0" w:space="0" w:color="auto"/>
        <w:bottom w:val="none" w:sz="0" w:space="0" w:color="auto"/>
        <w:right w:val="none" w:sz="0" w:space="0" w:color="auto"/>
      </w:divBdr>
    </w:div>
    <w:div w:id="1303314930">
      <w:bodyDiv w:val="1"/>
      <w:marLeft w:val="0"/>
      <w:marRight w:val="0"/>
      <w:marTop w:val="0"/>
      <w:marBottom w:val="0"/>
      <w:divBdr>
        <w:top w:val="none" w:sz="0" w:space="0" w:color="auto"/>
        <w:left w:val="none" w:sz="0" w:space="0" w:color="auto"/>
        <w:bottom w:val="none" w:sz="0" w:space="0" w:color="auto"/>
        <w:right w:val="none" w:sz="0" w:space="0" w:color="auto"/>
      </w:divBdr>
      <w:divsChild>
        <w:div w:id="90866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63725">
              <w:marLeft w:val="0"/>
              <w:marRight w:val="0"/>
              <w:marTop w:val="0"/>
              <w:marBottom w:val="0"/>
              <w:divBdr>
                <w:top w:val="none" w:sz="0" w:space="0" w:color="auto"/>
                <w:left w:val="none" w:sz="0" w:space="0" w:color="auto"/>
                <w:bottom w:val="none" w:sz="0" w:space="0" w:color="auto"/>
                <w:right w:val="none" w:sz="0" w:space="0" w:color="auto"/>
              </w:divBdr>
              <w:divsChild>
                <w:div w:id="3370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4779">
      <w:bodyDiv w:val="1"/>
      <w:marLeft w:val="0"/>
      <w:marRight w:val="0"/>
      <w:marTop w:val="0"/>
      <w:marBottom w:val="0"/>
      <w:divBdr>
        <w:top w:val="none" w:sz="0" w:space="0" w:color="auto"/>
        <w:left w:val="none" w:sz="0" w:space="0" w:color="auto"/>
        <w:bottom w:val="none" w:sz="0" w:space="0" w:color="auto"/>
        <w:right w:val="none" w:sz="0" w:space="0" w:color="auto"/>
      </w:divBdr>
    </w:div>
    <w:div w:id="1382973254">
      <w:bodyDiv w:val="1"/>
      <w:marLeft w:val="0"/>
      <w:marRight w:val="0"/>
      <w:marTop w:val="0"/>
      <w:marBottom w:val="0"/>
      <w:divBdr>
        <w:top w:val="none" w:sz="0" w:space="0" w:color="auto"/>
        <w:left w:val="none" w:sz="0" w:space="0" w:color="auto"/>
        <w:bottom w:val="none" w:sz="0" w:space="0" w:color="auto"/>
        <w:right w:val="none" w:sz="0" w:space="0" w:color="auto"/>
      </w:divBdr>
    </w:div>
    <w:div w:id="1389454661">
      <w:bodyDiv w:val="1"/>
      <w:marLeft w:val="0"/>
      <w:marRight w:val="0"/>
      <w:marTop w:val="0"/>
      <w:marBottom w:val="0"/>
      <w:divBdr>
        <w:top w:val="none" w:sz="0" w:space="0" w:color="auto"/>
        <w:left w:val="none" w:sz="0" w:space="0" w:color="auto"/>
        <w:bottom w:val="none" w:sz="0" w:space="0" w:color="auto"/>
        <w:right w:val="none" w:sz="0" w:space="0" w:color="auto"/>
      </w:divBdr>
    </w:div>
    <w:div w:id="1445618343">
      <w:bodyDiv w:val="1"/>
      <w:marLeft w:val="0"/>
      <w:marRight w:val="0"/>
      <w:marTop w:val="0"/>
      <w:marBottom w:val="0"/>
      <w:divBdr>
        <w:top w:val="none" w:sz="0" w:space="0" w:color="auto"/>
        <w:left w:val="none" w:sz="0" w:space="0" w:color="auto"/>
        <w:bottom w:val="none" w:sz="0" w:space="0" w:color="auto"/>
        <w:right w:val="none" w:sz="0" w:space="0" w:color="auto"/>
      </w:divBdr>
    </w:div>
    <w:div w:id="1501701789">
      <w:bodyDiv w:val="1"/>
      <w:marLeft w:val="0"/>
      <w:marRight w:val="0"/>
      <w:marTop w:val="0"/>
      <w:marBottom w:val="0"/>
      <w:divBdr>
        <w:top w:val="none" w:sz="0" w:space="0" w:color="auto"/>
        <w:left w:val="none" w:sz="0" w:space="0" w:color="auto"/>
        <w:bottom w:val="none" w:sz="0" w:space="0" w:color="auto"/>
        <w:right w:val="none" w:sz="0" w:space="0" w:color="auto"/>
      </w:divBdr>
    </w:div>
    <w:div w:id="1579485504">
      <w:bodyDiv w:val="1"/>
      <w:marLeft w:val="0"/>
      <w:marRight w:val="0"/>
      <w:marTop w:val="0"/>
      <w:marBottom w:val="0"/>
      <w:divBdr>
        <w:top w:val="none" w:sz="0" w:space="0" w:color="auto"/>
        <w:left w:val="none" w:sz="0" w:space="0" w:color="auto"/>
        <w:bottom w:val="none" w:sz="0" w:space="0" w:color="auto"/>
        <w:right w:val="none" w:sz="0" w:space="0" w:color="auto"/>
      </w:divBdr>
    </w:div>
    <w:div w:id="1629580791">
      <w:bodyDiv w:val="1"/>
      <w:marLeft w:val="0"/>
      <w:marRight w:val="0"/>
      <w:marTop w:val="0"/>
      <w:marBottom w:val="0"/>
      <w:divBdr>
        <w:top w:val="none" w:sz="0" w:space="0" w:color="auto"/>
        <w:left w:val="none" w:sz="0" w:space="0" w:color="auto"/>
        <w:bottom w:val="none" w:sz="0" w:space="0" w:color="auto"/>
        <w:right w:val="none" w:sz="0" w:space="0" w:color="auto"/>
      </w:divBdr>
    </w:div>
    <w:div w:id="1659337889">
      <w:bodyDiv w:val="1"/>
      <w:marLeft w:val="0"/>
      <w:marRight w:val="0"/>
      <w:marTop w:val="0"/>
      <w:marBottom w:val="0"/>
      <w:divBdr>
        <w:top w:val="none" w:sz="0" w:space="0" w:color="auto"/>
        <w:left w:val="none" w:sz="0" w:space="0" w:color="auto"/>
        <w:bottom w:val="none" w:sz="0" w:space="0" w:color="auto"/>
        <w:right w:val="none" w:sz="0" w:space="0" w:color="auto"/>
      </w:divBdr>
    </w:div>
    <w:div w:id="1665208250">
      <w:bodyDiv w:val="1"/>
      <w:marLeft w:val="0"/>
      <w:marRight w:val="0"/>
      <w:marTop w:val="0"/>
      <w:marBottom w:val="0"/>
      <w:divBdr>
        <w:top w:val="none" w:sz="0" w:space="0" w:color="auto"/>
        <w:left w:val="none" w:sz="0" w:space="0" w:color="auto"/>
        <w:bottom w:val="none" w:sz="0" w:space="0" w:color="auto"/>
        <w:right w:val="none" w:sz="0" w:space="0" w:color="auto"/>
      </w:divBdr>
    </w:div>
    <w:div w:id="1712027105">
      <w:bodyDiv w:val="1"/>
      <w:marLeft w:val="0"/>
      <w:marRight w:val="0"/>
      <w:marTop w:val="0"/>
      <w:marBottom w:val="0"/>
      <w:divBdr>
        <w:top w:val="none" w:sz="0" w:space="0" w:color="auto"/>
        <w:left w:val="none" w:sz="0" w:space="0" w:color="auto"/>
        <w:bottom w:val="none" w:sz="0" w:space="0" w:color="auto"/>
        <w:right w:val="none" w:sz="0" w:space="0" w:color="auto"/>
      </w:divBdr>
    </w:div>
    <w:div w:id="1756823619">
      <w:bodyDiv w:val="1"/>
      <w:marLeft w:val="0"/>
      <w:marRight w:val="0"/>
      <w:marTop w:val="0"/>
      <w:marBottom w:val="0"/>
      <w:divBdr>
        <w:top w:val="none" w:sz="0" w:space="0" w:color="auto"/>
        <w:left w:val="none" w:sz="0" w:space="0" w:color="auto"/>
        <w:bottom w:val="none" w:sz="0" w:space="0" w:color="auto"/>
        <w:right w:val="none" w:sz="0" w:space="0" w:color="auto"/>
      </w:divBdr>
    </w:div>
    <w:div w:id="1778136274">
      <w:bodyDiv w:val="1"/>
      <w:marLeft w:val="0"/>
      <w:marRight w:val="0"/>
      <w:marTop w:val="0"/>
      <w:marBottom w:val="0"/>
      <w:divBdr>
        <w:top w:val="none" w:sz="0" w:space="0" w:color="auto"/>
        <w:left w:val="none" w:sz="0" w:space="0" w:color="auto"/>
        <w:bottom w:val="none" w:sz="0" w:space="0" w:color="auto"/>
        <w:right w:val="none" w:sz="0" w:space="0" w:color="auto"/>
      </w:divBdr>
    </w:div>
    <w:div w:id="1798256539">
      <w:bodyDiv w:val="1"/>
      <w:marLeft w:val="0"/>
      <w:marRight w:val="0"/>
      <w:marTop w:val="0"/>
      <w:marBottom w:val="0"/>
      <w:divBdr>
        <w:top w:val="none" w:sz="0" w:space="0" w:color="auto"/>
        <w:left w:val="none" w:sz="0" w:space="0" w:color="auto"/>
        <w:bottom w:val="none" w:sz="0" w:space="0" w:color="auto"/>
        <w:right w:val="none" w:sz="0" w:space="0" w:color="auto"/>
      </w:divBdr>
    </w:div>
    <w:div w:id="1839684917">
      <w:bodyDiv w:val="1"/>
      <w:marLeft w:val="0"/>
      <w:marRight w:val="0"/>
      <w:marTop w:val="0"/>
      <w:marBottom w:val="0"/>
      <w:divBdr>
        <w:top w:val="none" w:sz="0" w:space="0" w:color="auto"/>
        <w:left w:val="none" w:sz="0" w:space="0" w:color="auto"/>
        <w:bottom w:val="none" w:sz="0" w:space="0" w:color="auto"/>
        <w:right w:val="none" w:sz="0" w:space="0" w:color="auto"/>
      </w:divBdr>
    </w:div>
    <w:div w:id="1908565461">
      <w:bodyDiv w:val="1"/>
      <w:marLeft w:val="0"/>
      <w:marRight w:val="0"/>
      <w:marTop w:val="0"/>
      <w:marBottom w:val="0"/>
      <w:divBdr>
        <w:top w:val="none" w:sz="0" w:space="0" w:color="auto"/>
        <w:left w:val="none" w:sz="0" w:space="0" w:color="auto"/>
        <w:bottom w:val="none" w:sz="0" w:space="0" w:color="auto"/>
        <w:right w:val="none" w:sz="0" w:space="0" w:color="auto"/>
      </w:divBdr>
    </w:div>
    <w:div w:id="1989243757">
      <w:bodyDiv w:val="1"/>
      <w:marLeft w:val="0"/>
      <w:marRight w:val="0"/>
      <w:marTop w:val="0"/>
      <w:marBottom w:val="0"/>
      <w:divBdr>
        <w:top w:val="none" w:sz="0" w:space="0" w:color="auto"/>
        <w:left w:val="none" w:sz="0" w:space="0" w:color="auto"/>
        <w:bottom w:val="none" w:sz="0" w:space="0" w:color="auto"/>
        <w:right w:val="none" w:sz="0" w:space="0" w:color="auto"/>
      </w:divBdr>
    </w:div>
    <w:div w:id="2015843374">
      <w:bodyDiv w:val="1"/>
      <w:marLeft w:val="0"/>
      <w:marRight w:val="0"/>
      <w:marTop w:val="0"/>
      <w:marBottom w:val="0"/>
      <w:divBdr>
        <w:top w:val="none" w:sz="0" w:space="0" w:color="auto"/>
        <w:left w:val="none" w:sz="0" w:space="0" w:color="auto"/>
        <w:bottom w:val="none" w:sz="0" w:space="0" w:color="auto"/>
        <w:right w:val="none" w:sz="0" w:space="0" w:color="auto"/>
      </w:divBdr>
      <w:divsChild>
        <w:div w:id="2098938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38839">
      <w:bodyDiv w:val="1"/>
      <w:marLeft w:val="0"/>
      <w:marRight w:val="0"/>
      <w:marTop w:val="0"/>
      <w:marBottom w:val="0"/>
      <w:divBdr>
        <w:top w:val="none" w:sz="0" w:space="0" w:color="auto"/>
        <w:left w:val="none" w:sz="0" w:space="0" w:color="auto"/>
        <w:bottom w:val="none" w:sz="0" w:space="0" w:color="auto"/>
        <w:right w:val="none" w:sz="0" w:space="0" w:color="auto"/>
      </w:divBdr>
    </w:div>
    <w:div w:id="2023627883">
      <w:bodyDiv w:val="1"/>
      <w:marLeft w:val="0"/>
      <w:marRight w:val="0"/>
      <w:marTop w:val="0"/>
      <w:marBottom w:val="0"/>
      <w:divBdr>
        <w:top w:val="none" w:sz="0" w:space="0" w:color="auto"/>
        <w:left w:val="none" w:sz="0" w:space="0" w:color="auto"/>
        <w:bottom w:val="none" w:sz="0" w:space="0" w:color="auto"/>
        <w:right w:val="none" w:sz="0" w:space="0" w:color="auto"/>
      </w:divBdr>
    </w:div>
    <w:div w:id="2045667209">
      <w:bodyDiv w:val="1"/>
      <w:marLeft w:val="0"/>
      <w:marRight w:val="0"/>
      <w:marTop w:val="0"/>
      <w:marBottom w:val="0"/>
      <w:divBdr>
        <w:top w:val="none" w:sz="0" w:space="0" w:color="auto"/>
        <w:left w:val="none" w:sz="0" w:space="0" w:color="auto"/>
        <w:bottom w:val="none" w:sz="0" w:space="0" w:color="auto"/>
        <w:right w:val="none" w:sz="0" w:space="0" w:color="auto"/>
      </w:divBdr>
    </w:div>
    <w:div w:id="2092655935">
      <w:bodyDiv w:val="1"/>
      <w:marLeft w:val="0"/>
      <w:marRight w:val="0"/>
      <w:marTop w:val="0"/>
      <w:marBottom w:val="0"/>
      <w:divBdr>
        <w:top w:val="none" w:sz="0" w:space="0" w:color="auto"/>
        <w:left w:val="none" w:sz="0" w:space="0" w:color="auto"/>
        <w:bottom w:val="none" w:sz="0" w:space="0" w:color="auto"/>
        <w:right w:val="none" w:sz="0" w:space="0" w:color="auto"/>
      </w:divBdr>
      <w:divsChild>
        <w:div w:id="38864657">
          <w:marLeft w:val="0"/>
          <w:marRight w:val="0"/>
          <w:marTop w:val="0"/>
          <w:marBottom w:val="0"/>
          <w:divBdr>
            <w:top w:val="none" w:sz="0" w:space="0" w:color="auto"/>
            <w:left w:val="none" w:sz="0" w:space="0" w:color="auto"/>
            <w:bottom w:val="none" w:sz="0" w:space="0" w:color="auto"/>
            <w:right w:val="none" w:sz="0" w:space="0" w:color="auto"/>
          </w:divBdr>
        </w:div>
        <w:div w:id="650141736">
          <w:marLeft w:val="0"/>
          <w:marRight w:val="0"/>
          <w:marTop w:val="0"/>
          <w:marBottom w:val="0"/>
          <w:divBdr>
            <w:top w:val="none" w:sz="0" w:space="0" w:color="auto"/>
            <w:left w:val="none" w:sz="0" w:space="0" w:color="auto"/>
            <w:bottom w:val="none" w:sz="0" w:space="0" w:color="auto"/>
            <w:right w:val="none" w:sz="0" w:space="0" w:color="auto"/>
          </w:divBdr>
        </w:div>
        <w:div w:id="710419300">
          <w:marLeft w:val="0"/>
          <w:marRight w:val="0"/>
          <w:marTop w:val="0"/>
          <w:marBottom w:val="0"/>
          <w:divBdr>
            <w:top w:val="none" w:sz="0" w:space="0" w:color="auto"/>
            <w:left w:val="none" w:sz="0" w:space="0" w:color="auto"/>
            <w:bottom w:val="none" w:sz="0" w:space="0" w:color="auto"/>
            <w:right w:val="none" w:sz="0" w:space="0" w:color="auto"/>
          </w:divBdr>
        </w:div>
        <w:div w:id="825517084">
          <w:marLeft w:val="0"/>
          <w:marRight w:val="0"/>
          <w:marTop w:val="0"/>
          <w:marBottom w:val="0"/>
          <w:divBdr>
            <w:top w:val="none" w:sz="0" w:space="0" w:color="auto"/>
            <w:left w:val="none" w:sz="0" w:space="0" w:color="auto"/>
            <w:bottom w:val="none" w:sz="0" w:space="0" w:color="auto"/>
            <w:right w:val="none" w:sz="0" w:space="0" w:color="auto"/>
          </w:divBdr>
        </w:div>
        <w:div w:id="836505691">
          <w:marLeft w:val="0"/>
          <w:marRight w:val="0"/>
          <w:marTop w:val="0"/>
          <w:marBottom w:val="0"/>
          <w:divBdr>
            <w:top w:val="none" w:sz="0" w:space="0" w:color="auto"/>
            <w:left w:val="none" w:sz="0" w:space="0" w:color="auto"/>
            <w:bottom w:val="none" w:sz="0" w:space="0" w:color="auto"/>
            <w:right w:val="none" w:sz="0" w:space="0" w:color="auto"/>
          </w:divBdr>
        </w:div>
        <w:div w:id="924848631">
          <w:marLeft w:val="0"/>
          <w:marRight w:val="0"/>
          <w:marTop w:val="0"/>
          <w:marBottom w:val="0"/>
          <w:divBdr>
            <w:top w:val="none" w:sz="0" w:space="0" w:color="auto"/>
            <w:left w:val="none" w:sz="0" w:space="0" w:color="auto"/>
            <w:bottom w:val="none" w:sz="0" w:space="0" w:color="auto"/>
            <w:right w:val="none" w:sz="0" w:space="0" w:color="auto"/>
          </w:divBdr>
        </w:div>
        <w:div w:id="1136490579">
          <w:marLeft w:val="0"/>
          <w:marRight w:val="0"/>
          <w:marTop w:val="0"/>
          <w:marBottom w:val="0"/>
          <w:divBdr>
            <w:top w:val="none" w:sz="0" w:space="0" w:color="auto"/>
            <w:left w:val="none" w:sz="0" w:space="0" w:color="auto"/>
            <w:bottom w:val="none" w:sz="0" w:space="0" w:color="auto"/>
            <w:right w:val="none" w:sz="0" w:space="0" w:color="auto"/>
          </w:divBdr>
        </w:div>
        <w:div w:id="1320697599">
          <w:marLeft w:val="0"/>
          <w:marRight w:val="0"/>
          <w:marTop w:val="0"/>
          <w:marBottom w:val="0"/>
          <w:divBdr>
            <w:top w:val="none" w:sz="0" w:space="0" w:color="auto"/>
            <w:left w:val="none" w:sz="0" w:space="0" w:color="auto"/>
            <w:bottom w:val="none" w:sz="0" w:space="0" w:color="auto"/>
            <w:right w:val="none" w:sz="0" w:space="0" w:color="auto"/>
          </w:divBdr>
        </w:div>
        <w:div w:id="1345790560">
          <w:marLeft w:val="0"/>
          <w:marRight w:val="0"/>
          <w:marTop w:val="0"/>
          <w:marBottom w:val="0"/>
          <w:divBdr>
            <w:top w:val="none" w:sz="0" w:space="0" w:color="auto"/>
            <w:left w:val="none" w:sz="0" w:space="0" w:color="auto"/>
            <w:bottom w:val="none" w:sz="0" w:space="0" w:color="auto"/>
            <w:right w:val="none" w:sz="0" w:space="0" w:color="auto"/>
          </w:divBdr>
        </w:div>
        <w:div w:id="1712268101">
          <w:marLeft w:val="0"/>
          <w:marRight w:val="0"/>
          <w:marTop w:val="0"/>
          <w:marBottom w:val="0"/>
          <w:divBdr>
            <w:top w:val="none" w:sz="0" w:space="0" w:color="auto"/>
            <w:left w:val="none" w:sz="0" w:space="0" w:color="auto"/>
            <w:bottom w:val="none" w:sz="0" w:space="0" w:color="auto"/>
            <w:right w:val="none" w:sz="0" w:space="0" w:color="auto"/>
          </w:divBdr>
        </w:div>
        <w:div w:id="1931236904">
          <w:marLeft w:val="0"/>
          <w:marRight w:val="0"/>
          <w:marTop w:val="0"/>
          <w:marBottom w:val="0"/>
          <w:divBdr>
            <w:top w:val="none" w:sz="0" w:space="0" w:color="auto"/>
            <w:left w:val="none" w:sz="0" w:space="0" w:color="auto"/>
            <w:bottom w:val="none" w:sz="0" w:space="0" w:color="auto"/>
            <w:right w:val="none" w:sz="0" w:space="0" w:color="auto"/>
          </w:divBdr>
        </w:div>
      </w:divsChild>
    </w:div>
    <w:div w:id="2122140628">
      <w:bodyDiv w:val="1"/>
      <w:marLeft w:val="0"/>
      <w:marRight w:val="0"/>
      <w:marTop w:val="0"/>
      <w:marBottom w:val="0"/>
      <w:divBdr>
        <w:top w:val="none" w:sz="0" w:space="0" w:color="auto"/>
        <w:left w:val="none" w:sz="0" w:space="0" w:color="auto"/>
        <w:bottom w:val="none" w:sz="0" w:space="0" w:color="auto"/>
        <w:right w:val="none" w:sz="0" w:space="0" w:color="auto"/>
      </w:divBdr>
    </w:div>
    <w:div w:id="212927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s.gov.au/statistics/health/disability/disability-ageing-and-carers-australia-summary-findings/latest-release" TargetMode="External"/><Relationship Id="rId18" Type="http://schemas.openxmlformats.org/officeDocument/2006/relationships/hyperlink" Target="https://disabilitystandardsreview.education.gov.au/assets/documents/DSE2020review_Discussionpaper.pdf" TargetMode="External"/><Relationship Id="rId26" Type="http://schemas.openxmlformats.org/officeDocument/2006/relationships/hyperlink" Target="https://www.ncsehe.edu.au/wp-content/uploads/2019/09/NaylorMifsud-FINAL.pdf" TargetMode="External"/><Relationship Id="rId3" Type="http://schemas.openxmlformats.org/officeDocument/2006/relationships/styles" Target="styles.xml"/><Relationship Id="rId21" Type="http://schemas.openxmlformats.org/officeDocument/2006/relationships/hyperlink" Target="https://www.education.gov.au/higher-education-disability-support-programme" TargetMode="External"/><Relationship Id="rId7" Type="http://schemas.openxmlformats.org/officeDocument/2006/relationships/endnotes" Target="endnotes.xml"/><Relationship Id="rId12" Type="http://schemas.openxmlformats.org/officeDocument/2006/relationships/hyperlink" Target="https://www.abs.gov.au/AUSSTATS/abs@.nsf/DetailsPage/4159.02014?OpenDocument" TargetMode="External"/><Relationship Id="rId17" Type="http://schemas.openxmlformats.org/officeDocument/2006/relationships/hyperlink" Target="https://docs.education.gov.au/system/files/doc/other/national_regional_rural_and_remote_tertiary_education_strategy.pdf" TargetMode="External"/><Relationship Id="rId25" Type="http://schemas.openxmlformats.org/officeDocument/2006/relationships/hyperlink" Target="https://www.ncsehe.edu.au/publications/briefing-note-equity-student-participation-in-australian-higher-education-2013-201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education.gov.au/documents/australian-government-initial-response-2015-review-disability-standards-education-2005" TargetMode="External"/><Relationship Id="rId20" Type="http://schemas.openxmlformats.org/officeDocument/2006/relationships/hyperlink" Target="https://www.dese.gov.au/document/job-ready-graduates-discussion-paper" TargetMode="External"/><Relationship Id="rId29" Type="http://schemas.openxmlformats.org/officeDocument/2006/relationships/hyperlink" Target="https://docs.education.gov.au/system/files/doc/other/final-report-2015-dse-revie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sehe.edu.au/" TargetMode="External"/><Relationship Id="rId24" Type="http://schemas.openxmlformats.org/officeDocument/2006/relationships/hyperlink" Target="https://heimshelp.education.gov.au/sites/default/files/2020-he-data-element-dictionary.pdf?v=159340597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csisupport.gov.au/element/615" TargetMode="External"/><Relationship Id="rId23" Type="http://schemas.openxmlformats.org/officeDocument/2006/relationships/hyperlink" Target="https://uploadstorage.blob.core.windows.net/public-assets/education-au/pathways/Final%20report%20-%2018%20June.pdf" TargetMode="External"/><Relationship Id="rId28" Type="http://schemas.openxmlformats.org/officeDocument/2006/relationships/hyperlink" Target="https://www.qilt.edu.au/qilt-surveys/graduate-employment" TargetMode="External"/><Relationship Id="rId10" Type="http://schemas.openxmlformats.org/officeDocument/2006/relationships/hyperlink" Target="mailto:ncsehe@curtin.edu.au" TargetMode="External"/><Relationship Id="rId19" Type="http://schemas.openxmlformats.org/officeDocument/2006/relationships/hyperlink" Target="https://docs.education.gov.au/node/5303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csehe.edu.au" TargetMode="External"/><Relationship Id="rId14" Type="http://schemas.openxmlformats.org/officeDocument/2006/relationships/hyperlink" Target="https://www.aihw.gov.au/reports/disability/people-with-disability-in-australia/key-data-gaps/existing-data-sources-and-challenges" TargetMode="External"/><Relationship Id="rId22" Type="http://schemas.openxmlformats.org/officeDocument/2006/relationships/hyperlink" Target="https://engage.dss.gov.au/nds-stage2-consultation/national-disability-strategy-position-paper/" TargetMode="External"/><Relationship Id="rId27" Type="http://schemas.openxmlformats.org/officeDocument/2006/relationships/hyperlink" Target="http://www.orygen.org.au/" TargetMode="External"/><Relationship Id="rId30" Type="http://schemas.openxmlformats.org/officeDocument/2006/relationships/hyperlink" Target="https://www.ncsehe.edu.au/wp-content/uploads/2019/03/Equity2030_FINAL.pdf"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4704F-DC8F-6647-9197-B21F1B05D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8838</Words>
  <Characters>54446</Characters>
  <Application>Microsoft Office Word</Application>
  <DocSecurity>0</DocSecurity>
  <Lines>1111</Lines>
  <Paragraphs>565</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62719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NCSEHE</dc:creator>
  <cp:keywords/>
  <dc:description/>
  <cp:lastModifiedBy>Nina-Marie Thomas</cp:lastModifiedBy>
  <cp:revision>2</cp:revision>
  <cp:lastPrinted>2020-09-25T01:19:00Z</cp:lastPrinted>
  <dcterms:created xsi:type="dcterms:W3CDTF">2020-09-25T02:05:00Z</dcterms:created>
  <dcterms:modified xsi:type="dcterms:W3CDTF">2020-09-25T02:05:00Z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5a23ac58-d4cc-3b79-8c41-87984e2f0b66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