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2F18" w:rsidRDefault="00E82F18">
      <w:pPr>
        <w:spacing w:after="0"/>
      </w:pPr>
      <w:r>
        <w:rPr>
          <w:noProof/>
          <w:lang w:eastAsia="en-AU"/>
        </w:rPr>
        <w:drawing>
          <wp:anchor distT="0" distB="0" distL="114300" distR="114300" simplePos="0" relativeHeight="251670528" behindDoc="0" locked="0" layoutInCell="1" allowOverlap="1">
            <wp:simplePos x="0" y="0"/>
            <wp:positionH relativeFrom="column">
              <wp:posOffset>-933450</wp:posOffset>
            </wp:positionH>
            <wp:positionV relativeFrom="paragraph">
              <wp:posOffset>-942975</wp:posOffset>
            </wp:positionV>
            <wp:extent cx="7562471" cy="10706100"/>
            <wp:effectExtent l="0" t="0" r="635" b="0"/>
            <wp:wrapNone/>
            <wp:docPr id="5" name="Picture 5" descr="Blue block colour zig zag background graphics. Text: &quot;Regional Student Financial Circumstances at the University of South Australia. Associate Professor Judy Nagy, Dr Alice Lee and Ms Charmaine Graham. February 2016&quot;. University of South Australia logo in bottom right-hand corner." titl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jpg"/>
                    <pic:cNvPicPr/>
                  </pic:nvPicPr>
                  <pic:blipFill>
                    <a:blip r:embed="rId8">
                      <a:extLst>
                        <a:ext uri="{28A0092B-C50C-407E-A947-70E740481C1C}">
                          <a14:useLocalDpi xmlns:a14="http://schemas.microsoft.com/office/drawing/2010/main" val="0"/>
                        </a:ext>
                      </a:extLst>
                    </a:blip>
                    <a:stretch>
                      <a:fillRect/>
                    </a:stretch>
                  </pic:blipFill>
                  <pic:spPr>
                    <a:xfrm>
                      <a:off x="0" y="0"/>
                      <a:ext cx="7562471" cy="10706100"/>
                    </a:xfrm>
                    <a:prstGeom prst="rect">
                      <a:avLst/>
                    </a:prstGeom>
                  </pic:spPr>
                </pic:pic>
              </a:graphicData>
            </a:graphic>
            <wp14:sizeRelH relativeFrom="page">
              <wp14:pctWidth>0</wp14:pctWidth>
            </wp14:sizeRelH>
            <wp14:sizeRelV relativeFrom="page">
              <wp14:pctHeight>0</wp14:pctHeight>
            </wp14:sizeRelV>
          </wp:anchor>
        </w:drawing>
      </w:r>
      <w:r>
        <w:br w:type="page"/>
      </w:r>
    </w:p>
    <w:p w:rsidR="003E54B0" w:rsidRDefault="003E54B0">
      <w:pPr>
        <w:spacing w:after="0"/>
      </w:pPr>
    </w:p>
    <w:p w:rsidR="0043181D" w:rsidRDefault="0043181D">
      <w:pPr>
        <w:spacing w:after="0"/>
      </w:pPr>
    </w:p>
    <w:p w:rsidR="0043181D" w:rsidRDefault="0043181D">
      <w:pPr>
        <w:spacing w:after="0"/>
      </w:pPr>
    </w:p>
    <w:p w:rsidR="0043181D" w:rsidRDefault="0043181D">
      <w:pPr>
        <w:spacing w:after="0"/>
      </w:pPr>
    </w:p>
    <w:p w:rsidR="0043181D" w:rsidRDefault="0043181D">
      <w:pPr>
        <w:spacing w:after="0"/>
        <w:rPr>
          <w:rFonts w:eastAsia="Times New Roman"/>
          <w:b/>
          <w:bCs/>
          <w:kern w:val="28"/>
          <w:sz w:val="44"/>
          <w:szCs w:val="32"/>
        </w:rPr>
      </w:pPr>
    </w:p>
    <w:p w:rsidR="00154132" w:rsidRDefault="00154132" w:rsidP="00154132"/>
    <w:p w:rsidR="003E54B0" w:rsidRDefault="003E54B0" w:rsidP="003E54B0"/>
    <w:p w:rsidR="00FA49A0" w:rsidRDefault="00FA49A0" w:rsidP="003E54B0"/>
    <w:p w:rsidR="00FA49A0" w:rsidRDefault="00FA49A0" w:rsidP="003E54B0">
      <w:r>
        <w:br/>
      </w:r>
    </w:p>
    <w:p w:rsidR="00FA49A0" w:rsidRPr="003E54B0" w:rsidRDefault="00FA49A0" w:rsidP="003E54B0"/>
    <w:p w:rsidR="001C660B" w:rsidRDefault="00E82F18" w:rsidP="00A92FB5">
      <w:pPr>
        <w:jc w:val="center"/>
      </w:pPr>
      <w:r>
        <w:rPr>
          <w:rFonts w:eastAsia="Times New Roman"/>
          <w:b/>
          <w:bCs/>
          <w:kern w:val="28"/>
          <w:sz w:val="44"/>
          <w:szCs w:val="32"/>
        </w:rPr>
        <w:t xml:space="preserve">Regional Student Financial Circumstances </w:t>
      </w:r>
      <w:r>
        <w:rPr>
          <w:rFonts w:eastAsia="Times New Roman"/>
          <w:b/>
          <w:bCs/>
          <w:kern w:val="28"/>
          <w:sz w:val="44"/>
          <w:szCs w:val="32"/>
        </w:rPr>
        <w:br/>
        <w:t>at the University of South Australia</w:t>
      </w:r>
    </w:p>
    <w:p w:rsidR="00CF7843" w:rsidRDefault="00CF7843" w:rsidP="00CF7843"/>
    <w:p w:rsidR="00CF7843" w:rsidRDefault="00E82F18" w:rsidP="00CF7843">
      <w:pPr>
        <w:jc w:val="center"/>
      </w:pPr>
      <w:r>
        <w:t>February 2016</w:t>
      </w:r>
    </w:p>
    <w:p w:rsidR="00CF7843" w:rsidRDefault="00CF7843" w:rsidP="00CF7843">
      <w:pPr>
        <w:jc w:val="center"/>
      </w:pPr>
    </w:p>
    <w:p w:rsidR="00E82F18" w:rsidRDefault="00CF7843" w:rsidP="00CF7843">
      <w:pPr>
        <w:jc w:val="center"/>
      </w:pPr>
      <w:r>
        <w:t xml:space="preserve">Associate Professor </w:t>
      </w:r>
      <w:r w:rsidR="00E82F18">
        <w:t>Judy Nagy</w:t>
      </w:r>
    </w:p>
    <w:p w:rsidR="00E82F18" w:rsidRDefault="00E82F18" w:rsidP="00CF7843">
      <w:pPr>
        <w:jc w:val="center"/>
      </w:pPr>
      <w:r>
        <w:t>Dr Alice Lee</w:t>
      </w:r>
    </w:p>
    <w:p w:rsidR="00FE7CD4" w:rsidRDefault="00E82F18" w:rsidP="00CF7843">
      <w:pPr>
        <w:jc w:val="center"/>
        <w:rPr>
          <w:sz w:val="16"/>
          <w:szCs w:val="16"/>
        </w:rPr>
      </w:pPr>
      <w:r>
        <w:t>Ms Charmaine Graham</w:t>
      </w:r>
      <w:r w:rsidR="001C660B">
        <w:br/>
      </w:r>
      <w:r w:rsidR="00FE7CD4">
        <w:rPr>
          <w:sz w:val="16"/>
          <w:szCs w:val="16"/>
        </w:rPr>
        <w:br/>
      </w:r>
    </w:p>
    <w:p w:rsidR="00154132" w:rsidRDefault="00154132" w:rsidP="00A92FB5">
      <w:pPr>
        <w:rPr>
          <w:sz w:val="16"/>
          <w:szCs w:val="16"/>
        </w:rPr>
      </w:pPr>
      <w:r>
        <w:rPr>
          <w:sz w:val="16"/>
          <w:szCs w:val="16"/>
        </w:rPr>
        <w:br/>
      </w:r>
    </w:p>
    <w:p w:rsidR="00A711E4" w:rsidRDefault="00A711E4" w:rsidP="00A92FB5">
      <w:pPr>
        <w:rPr>
          <w:sz w:val="16"/>
          <w:szCs w:val="16"/>
        </w:rPr>
      </w:pPr>
      <w:r>
        <w:rPr>
          <w:sz w:val="16"/>
          <w:szCs w:val="16"/>
        </w:rPr>
        <w:br/>
      </w:r>
    </w:p>
    <w:p w:rsidR="003E54B0" w:rsidRDefault="00E82F18" w:rsidP="00A92FB5">
      <w:pPr>
        <w:rPr>
          <w:sz w:val="16"/>
          <w:szCs w:val="16"/>
        </w:rPr>
      </w:pPr>
      <w:r>
        <w:rPr>
          <w:sz w:val="16"/>
          <w:szCs w:val="16"/>
        </w:rPr>
        <w:br/>
      </w:r>
      <w:r w:rsidR="00FA49A0">
        <w:rPr>
          <w:sz w:val="16"/>
          <w:szCs w:val="16"/>
        </w:rPr>
        <w:br/>
      </w:r>
    </w:p>
    <w:p w:rsidR="002C1012" w:rsidRDefault="002C1012" w:rsidP="00A92FB5">
      <w:pPr>
        <w:rPr>
          <w:sz w:val="16"/>
          <w:szCs w:val="16"/>
        </w:rPr>
      </w:pPr>
    </w:p>
    <w:p w:rsidR="002C1012" w:rsidRDefault="002C1012" w:rsidP="00A92FB5">
      <w:pPr>
        <w:rPr>
          <w:sz w:val="16"/>
          <w:szCs w:val="16"/>
        </w:rPr>
      </w:pPr>
    </w:p>
    <w:p w:rsidR="000F6F5D" w:rsidRDefault="000F6F5D" w:rsidP="00A92FB5">
      <w:pPr>
        <w:rPr>
          <w:sz w:val="16"/>
          <w:szCs w:val="16"/>
        </w:rPr>
      </w:pPr>
    </w:p>
    <w:p w:rsidR="00A92FB5" w:rsidRPr="00A92FB5" w:rsidRDefault="00A92FB5" w:rsidP="00A92FB5">
      <w:pPr>
        <w:rPr>
          <w:sz w:val="16"/>
          <w:szCs w:val="16"/>
        </w:rPr>
      </w:pPr>
      <w:r w:rsidRPr="00A92FB5">
        <w:rPr>
          <w:sz w:val="16"/>
          <w:szCs w:val="16"/>
        </w:rPr>
        <w:t>The project that resulted in the production of this report was funded under a National Priorities Pool (Higher Education Participation and Partnerships Program) grant from the Commonwealth. The recipient of the grant has granted the Commonwealth the right to sub-licence the material in this report. Copyright in the report remains with the original copyright owners.</w:t>
      </w:r>
    </w:p>
    <w:p w:rsidR="00A92FB5" w:rsidRPr="00A92FB5" w:rsidRDefault="00A92FB5" w:rsidP="00A92FB5">
      <w:pPr>
        <w:rPr>
          <w:sz w:val="16"/>
          <w:szCs w:val="16"/>
        </w:rPr>
      </w:pPr>
      <w:r w:rsidRPr="00A92FB5">
        <w:rPr>
          <w:sz w:val="16"/>
          <w:szCs w:val="16"/>
        </w:rPr>
        <w:t>Except where otherwise indicated, and save for any material protected by a trade mark, the Department of Education and Training, acting on behalf of the Commonwealth, has applied the Creative Commons Attribution 4.0 International Licence.</w:t>
      </w:r>
    </w:p>
    <w:p w:rsidR="00A92FB5" w:rsidRPr="00A92FB5" w:rsidRDefault="00A92FB5" w:rsidP="00A92FB5">
      <w:pPr>
        <w:rPr>
          <w:sz w:val="16"/>
          <w:szCs w:val="16"/>
        </w:rPr>
      </w:pPr>
      <w:r>
        <w:rPr>
          <w:noProof/>
          <w:sz w:val="16"/>
          <w:szCs w:val="16"/>
          <w:lang w:eastAsia="en-AU"/>
        </w:rPr>
        <w:drawing>
          <wp:anchor distT="0" distB="0" distL="114300" distR="114300" simplePos="0" relativeHeight="251658240" behindDoc="0" locked="0" layoutInCell="1" allowOverlap="1" wp14:anchorId="63C9DA3E">
            <wp:simplePos x="0" y="0"/>
            <wp:positionH relativeFrom="column">
              <wp:posOffset>0</wp:posOffset>
            </wp:positionH>
            <wp:positionV relativeFrom="paragraph">
              <wp:posOffset>0</wp:posOffset>
            </wp:positionV>
            <wp:extent cx="920750" cy="328930"/>
            <wp:effectExtent l="0" t="0" r="0" b="0"/>
            <wp:wrapSquare wrapText="bothSides"/>
            <wp:docPr id="2" name="Picture 2" descr="Creative Commons Licence icon." title="CC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0750" cy="328930"/>
                    </a:xfrm>
                    <a:prstGeom prst="rect">
                      <a:avLst/>
                    </a:prstGeom>
                    <a:noFill/>
                  </pic:spPr>
                </pic:pic>
              </a:graphicData>
            </a:graphic>
            <wp14:sizeRelH relativeFrom="page">
              <wp14:pctWidth>0</wp14:pctWidth>
            </wp14:sizeRelH>
            <wp14:sizeRelV relativeFrom="page">
              <wp14:pctHeight>0</wp14:pctHeight>
            </wp14:sizeRelV>
          </wp:anchor>
        </w:drawing>
      </w:r>
    </w:p>
    <w:p w:rsidR="00A92FB5" w:rsidRPr="00A92FB5" w:rsidRDefault="00A92FB5" w:rsidP="00A92FB5">
      <w:pPr>
        <w:rPr>
          <w:sz w:val="16"/>
          <w:szCs w:val="16"/>
        </w:rPr>
      </w:pPr>
    </w:p>
    <w:p w:rsidR="00E82F18" w:rsidRDefault="00A92FB5" w:rsidP="00A92FB5">
      <w:pPr>
        <w:rPr>
          <w:sz w:val="16"/>
          <w:szCs w:val="16"/>
        </w:rPr>
      </w:pPr>
      <w:r w:rsidRPr="00A92FB5">
        <w:rPr>
          <w:sz w:val="16"/>
          <w:szCs w:val="16"/>
        </w:rPr>
        <w:t>Modifications: Changed to meet WCAG 2</w:t>
      </w:r>
      <w:r>
        <w:rPr>
          <w:sz w:val="16"/>
          <w:szCs w:val="16"/>
        </w:rPr>
        <w:t xml:space="preserve">.0 accessibility requirements. </w:t>
      </w:r>
      <w:r>
        <w:rPr>
          <w:sz w:val="16"/>
          <w:szCs w:val="16"/>
        </w:rPr>
        <w:br/>
      </w:r>
      <w:r w:rsidRPr="00A92FB5">
        <w:rPr>
          <w:sz w:val="16"/>
          <w:szCs w:val="16"/>
        </w:rPr>
        <w:t>Alternate text inserted for all images. Minor typographical errors corrected.</w:t>
      </w:r>
    </w:p>
    <w:p w:rsidR="00E82F18" w:rsidRDefault="00E82F18" w:rsidP="00E82F18">
      <w:pPr>
        <w:pStyle w:val="Heading1"/>
      </w:pPr>
      <w:bookmarkStart w:id="0" w:name="_Toc517270314"/>
      <w:r>
        <w:lastRenderedPageBreak/>
        <w:t>Contents</w:t>
      </w:r>
      <w:bookmarkEnd w:id="0"/>
    </w:p>
    <w:p w:rsidR="0038221D" w:rsidRDefault="0038221D">
      <w:pPr>
        <w:pStyle w:val="TOC1"/>
        <w:rPr>
          <w:rFonts w:asciiTheme="minorHAnsi" w:eastAsiaTheme="minorEastAsia" w:hAnsiTheme="minorHAnsi" w:cstheme="minorBidi"/>
          <w:b w:val="0"/>
          <w:color w:val="auto"/>
          <w:sz w:val="22"/>
          <w:lang w:eastAsia="en-AU"/>
        </w:rPr>
      </w:pPr>
      <w:r>
        <w:fldChar w:fldCharType="begin"/>
      </w:r>
      <w:r>
        <w:instrText xml:space="preserve"> TOC \o "3-3" \h \z \t "Heading 1,1,Heading 2,2" </w:instrText>
      </w:r>
      <w:r>
        <w:fldChar w:fldCharType="separate"/>
      </w:r>
      <w:hyperlink w:anchor="_Toc517270315" w:history="1">
        <w:r w:rsidRPr="005B1E0C">
          <w:rPr>
            <w:rStyle w:val="Hyperlink"/>
          </w:rPr>
          <w:t>List of Tables</w:t>
        </w:r>
        <w:r>
          <w:rPr>
            <w:webHidden/>
          </w:rPr>
          <w:tab/>
        </w:r>
        <w:r>
          <w:rPr>
            <w:webHidden/>
          </w:rPr>
          <w:fldChar w:fldCharType="begin"/>
        </w:r>
        <w:r>
          <w:rPr>
            <w:webHidden/>
          </w:rPr>
          <w:instrText xml:space="preserve"> PAGEREF _Toc517270315 \h </w:instrText>
        </w:r>
        <w:r>
          <w:rPr>
            <w:webHidden/>
          </w:rPr>
        </w:r>
        <w:r>
          <w:rPr>
            <w:webHidden/>
          </w:rPr>
          <w:fldChar w:fldCharType="separate"/>
        </w:r>
        <w:r w:rsidR="0033032C">
          <w:rPr>
            <w:webHidden/>
          </w:rPr>
          <w:t>4</w:t>
        </w:r>
        <w:r>
          <w:rPr>
            <w:webHidden/>
          </w:rPr>
          <w:fldChar w:fldCharType="end"/>
        </w:r>
      </w:hyperlink>
    </w:p>
    <w:p w:rsidR="0038221D" w:rsidRDefault="0038221D">
      <w:pPr>
        <w:pStyle w:val="TOC1"/>
        <w:rPr>
          <w:rFonts w:asciiTheme="minorHAnsi" w:eastAsiaTheme="minorEastAsia" w:hAnsiTheme="minorHAnsi" w:cstheme="minorBidi"/>
          <w:b w:val="0"/>
          <w:color w:val="auto"/>
          <w:sz w:val="22"/>
          <w:lang w:eastAsia="en-AU"/>
        </w:rPr>
      </w:pPr>
      <w:hyperlink w:anchor="_Toc517270316" w:history="1">
        <w:r w:rsidRPr="005B1E0C">
          <w:rPr>
            <w:rStyle w:val="Hyperlink"/>
          </w:rPr>
          <w:t>List of Figures</w:t>
        </w:r>
        <w:r>
          <w:rPr>
            <w:webHidden/>
          </w:rPr>
          <w:tab/>
        </w:r>
        <w:r>
          <w:rPr>
            <w:webHidden/>
          </w:rPr>
          <w:fldChar w:fldCharType="begin"/>
        </w:r>
        <w:r>
          <w:rPr>
            <w:webHidden/>
          </w:rPr>
          <w:instrText xml:space="preserve"> PAGEREF _Toc517270316 \h </w:instrText>
        </w:r>
        <w:r>
          <w:rPr>
            <w:webHidden/>
          </w:rPr>
        </w:r>
        <w:r>
          <w:rPr>
            <w:webHidden/>
          </w:rPr>
          <w:fldChar w:fldCharType="separate"/>
        </w:r>
        <w:r w:rsidR="0033032C">
          <w:rPr>
            <w:webHidden/>
          </w:rPr>
          <w:t>4</w:t>
        </w:r>
        <w:r>
          <w:rPr>
            <w:webHidden/>
          </w:rPr>
          <w:fldChar w:fldCharType="end"/>
        </w:r>
      </w:hyperlink>
    </w:p>
    <w:p w:rsidR="0038221D" w:rsidRDefault="0038221D">
      <w:pPr>
        <w:pStyle w:val="TOC1"/>
        <w:rPr>
          <w:rFonts w:asciiTheme="minorHAnsi" w:eastAsiaTheme="minorEastAsia" w:hAnsiTheme="minorHAnsi" w:cstheme="minorBidi"/>
          <w:b w:val="0"/>
          <w:color w:val="auto"/>
          <w:sz w:val="22"/>
          <w:lang w:eastAsia="en-AU"/>
        </w:rPr>
      </w:pPr>
      <w:hyperlink w:anchor="_Toc517270317" w:history="1">
        <w:r w:rsidRPr="005B1E0C">
          <w:rPr>
            <w:rStyle w:val="Hyperlink"/>
          </w:rPr>
          <w:t>Acknowledgements</w:t>
        </w:r>
        <w:r>
          <w:rPr>
            <w:webHidden/>
          </w:rPr>
          <w:tab/>
        </w:r>
        <w:r>
          <w:rPr>
            <w:webHidden/>
          </w:rPr>
          <w:fldChar w:fldCharType="begin"/>
        </w:r>
        <w:r>
          <w:rPr>
            <w:webHidden/>
          </w:rPr>
          <w:instrText xml:space="preserve"> PAGEREF _Toc517270317 \h </w:instrText>
        </w:r>
        <w:r>
          <w:rPr>
            <w:webHidden/>
          </w:rPr>
        </w:r>
        <w:r>
          <w:rPr>
            <w:webHidden/>
          </w:rPr>
          <w:fldChar w:fldCharType="separate"/>
        </w:r>
        <w:r w:rsidR="0033032C">
          <w:rPr>
            <w:webHidden/>
          </w:rPr>
          <w:t>6</w:t>
        </w:r>
        <w:r>
          <w:rPr>
            <w:webHidden/>
          </w:rPr>
          <w:fldChar w:fldCharType="end"/>
        </w:r>
      </w:hyperlink>
    </w:p>
    <w:p w:rsidR="0038221D" w:rsidRDefault="0038221D">
      <w:pPr>
        <w:pStyle w:val="TOC1"/>
        <w:rPr>
          <w:rFonts w:asciiTheme="minorHAnsi" w:eastAsiaTheme="minorEastAsia" w:hAnsiTheme="minorHAnsi" w:cstheme="minorBidi"/>
          <w:b w:val="0"/>
          <w:color w:val="auto"/>
          <w:sz w:val="22"/>
          <w:lang w:eastAsia="en-AU"/>
        </w:rPr>
      </w:pPr>
      <w:hyperlink w:anchor="_Toc517270319" w:history="1">
        <w:r w:rsidRPr="005B1E0C">
          <w:rPr>
            <w:rStyle w:val="Hyperlink"/>
          </w:rPr>
          <w:t>1. Executive Summary</w:t>
        </w:r>
        <w:r>
          <w:rPr>
            <w:webHidden/>
          </w:rPr>
          <w:tab/>
        </w:r>
        <w:r>
          <w:rPr>
            <w:webHidden/>
          </w:rPr>
          <w:fldChar w:fldCharType="begin"/>
        </w:r>
        <w:r>
          <w:rPr>
            <w:webHidden/>
          </w:rPr>
          <w:instrText xml:space="preserve"> PAGEREF _Toc517270319 \h </w:instrText>
        </w:r>
        <w:r>
          <w:rPr>
            <w:webHidden/>
          </w:rPr>
        </w:r>
        <w:r>
          <w:rPr>
            <w:webHidden/>
          </w:rPr>
          <w:fldChar w:fldCharType="separate"/>
        </w:r>
        <w:r w:rsidR="0033032C">
          <w:rPr>
            <w:webHidden/>
          </w:rPr>
          <w:t>7</w:t>
        </w:r>
        <w:r>
          <w:rPr>
            <w:webHidden/>
          </w:rPr>
          <w:fldChar w:fldCharType="end"/>
        </w:r>
      </w:hyperlink>
    </w:p>
    <w:p w:rsidR="0038221D" w:rsidRDefault="0038221D">
      <w:pPr>
        <w:pStyle w:val="TOC1"/>
        <w:rPr>
          <w:rFonts w:asciiTheme="minorHAnsi" w:eastAsiaTheme="minorEastAsia" w:hAnsiTheme="minorHAnsi" w:cstheme="minorBidi"/>
          <w:b w:val="0"/>
          <w:color w:val="auto"/>
          <w:sz w:val="22"/>
          <w:lang w:eastAsia="en-AU"/>
        </w:rPr>
      </w:pPr>
      <w:hyperlink w:anchor="_Toc517270323" w:history="1">
        <w:r w:rsidRPr="005B1E0C">
          <w:rPr>
            <w:rStyle w:val="Hyperlink"/>
          </w:rPr>
          <w:t>2. Background and Context</w:t>
        </w:r>
        <w:r>
          <w:rPr>
            <w:webHidden/>
          </w:rPr>
          <w:tab/>
        </w:r>
        <w:r>
          <w:rPr>
            <w:webHidden/>
          </w:rPr>
          <w:fldChar w:fldCharType="begin"/>
        </w:r>
        <w:r>
          <w:rPr>
            <w:webHidden/>
          </w:rPr>
          <w:instrText xml:space="preserve"> PAGEREF _Toc517270323 \h </w:instrText>
        </w:r>
        <w:r>
          <w:rPr>
            <w:webHidden/>
          </w:rPr>
        </w:r>
        <w:r>
          <w:rPr>
            <w:webHidden/>
          </w:rPr>
          <w:fldChar w:fldCharType="separate"/>
        </w:r>
        <w:r w:rsidR="0033032C">
          <w:rPr>
            <w:webHidden/>
          </w:rPr>
          <w:t>11</w:t>
        </w:r>
        <w:r>
          <w:rPr>
            <w:webHidden/>
          </w:rPr>
          <w:fldChar w:fldCharType="end"/>
        </w:r>
      </w:hyperlink>
    </w:p>
    <w:p w:rsidR="0038221D" w:rsidRDefault="0038221D" w:rsidP="0038221D">
      <w:pPr>
        <w:pStyle w:val="TOC2"/>
        <w:rPr>
          <w:rFonts w:asciiTheme="minorHAnsi" w:eastAsiaTheme="minorEastAsia" w:hAnsiTheme="minorHAnsi" w:cstheme="minorBidi"/>
          <w:noProof/>
          <w:color w:val="auto"/>
          <w:sz w:val="22"/>
          <w:lang w:eastAsia="en-AU"/>
        </w:rPr>
      </w:pPr>
      <w:hyperlink w:anchor="_Toc517270324" w:history="1">
        <w:r w:rsidRPr="005B1E0C">
          <w:rPr>
            <w:rStyle w:val="Hyperlink"/>
            <w:noProof/>
          </w:rPr>
          <w:t>2.1 Background</w:t>
        </w:r>
        <w:r>
          <w:rPr>
            <w:noProof/>
            <w:webHidden/>
          </w:rPr>
          <w:tab/>
        </w:r>
        <w:r>
          <w:rPr>
            <w:noProof/>
            <w:webHidden/>
          </w:rPr>
          <w:fldChar w:fldCharType="begin"/>
        </w:r>
        <w:r>
          <w:rPr>
            <w:noProof/>
            <w:webHidden/>
          </w:rPr>
          <w:instrText xml:space="preserve"> PAGEREF _Toc517270324 \h </w:instrText>
        </w:r>
        <w:r>
          <w:rPr>
            <w:noProof/>
            <w:webHidden/>
          </w:rPr>
        </w:r>
        <w:r>
          <w:rPr>
            <w:noProof/>
            <w:webHidden/>
          </w:rPr>
          <w:fldChar w:fldCharType="separate"/>
        </w:r>
        <w:r w:rsidR="0033032C">
          <w:rPr>
            <w:noProof/>
            <w:webHidden/>
          </w:rPr>
          <w:t>11</w:t>
        </w:r>
        <w:r>
          <w:rPr>
            <w:noProof/>
            <w:webHidden/>
          </w:rPr>
          <w:fldChar w:fldCharType="end"/>
        </w:r>
      </w:hyperlink>
    </w:p>
    <w:p w:rsidR="0038221D" w:rsidRDefault="0038221D" w:rsidP="0038221D">
      <w:pPr>
        <w:pStyle w:val="TOC2"/>
        <w:rPr>
          <w:rFonts w:asciiTheme="minorHAnsi" w:eastAsiaTheme="minorEastAsia" w:hAnsiTheme="minorHAnsi" w:cstheme="minorBidi"/>
          <w:noProof/>
          <w:color w:val="auto"/>
          <w:sz w:val="22"/>
          <w:lang w:eastAsia="en-AU"/>
        </w:rPr>
      </w:pPr>
      <w:hyperlink w:anchor="_Toc517270325" w:history="1">
        <w:r w:rsidRPr="005B1E0C">
          <w:rPr>
            <w:rStyle w:val="Hyperlink"/>
            <w:noProof/>
          </w:rPr>
          <w:t>2.2 Project Aims</w:t>
        </w:r>
        <w:r>
          <w:rPr>
            <w:noProof/>
            <w:webHidden/>
          </w:rPr>
          <w:tab/>
        </w:r>
        <w:r>
          <w:rPr>
            <w:noProof/>
            <w:webHidden/>
          </w:rPr>
          <w:fldChar w:fldCharType="begin"/>
        </w:r>
        <w:r>
          <w:rPr>
            <w:noProof/>
            <w:webHidden/>
          </w:rPr>
          <w:instrText xml:space="preserve"> PAGEREF _Toc517270325 \h </w:instrText>
        </w:r>
        <w:r>
          <w:rPr>
            <w:noProof/>
            <w:webHidden/>
          </w:rPr>
        </w:r>
        <w:r>
          <w:rPr>
            <w:noProof/>
            <w:webHidden/>
          </w:rPr>
          <w:fldChar w:fldCharType="separate"/>
        </w:r>
        <w:r w:rsidR="0033032C">
          <w:rPr>
            <w:noProof/>
            <w:webHidden/>
          </w:rPr>
          <w:t>13</w:t>
        </w:r>
        <w:r>
          <w:rPr>
            <w:noProof/>
            <w:webHidden/>
          </w:rPr>
          <w:fldChar w:fldCharType="end"/>
        </w:r>
      </w:hyperlink>
    </w:p>
    <w:p w:rsidR="0038221D" w:rsidRDefault="0038221D" w:rsidP="0038221D">
      <w:pPr>
        <w:pStyle w:val="TOC2"/>
        <w:rPr>
          <w:rFonts w:asciiTheme="minorHAnsi" w:eastAsiaTheme="minorEastAsia" w:hAnsiTheme="minorHAnsi" w:cstheme="minorBidi"/>
          <w:noProof/>
          <w:color w:val="auto"/>
          <w:sz w:val="22"/>
          <w:lang w:eastAsia="en-AU"/>
        </w:rPr>
      </w:pPr>
      <w:hyperlink w:anchor="_Toc517270326" w:history="1">
        <w:r w:rsidRPr="005B1E0C">
          <w:rPr>
            <w:rStyle w:val="Hyperlink"/>
            <w:noProof/>
          </w:rPr>
          <w:t>2.3 Research Site</w:t>
        </w:r>
        <w:r>
          <w:rPr>
            <w:noProof/>
            <w:webHidden/>
          </w:rPr>
          <w:tab/>
        </w:r>
        <w:r>
          <w:rPr>
            <w:noProof/>
            <w:webHidden/>
          </w:rPr>
          <w:fldChar w:fldCharType="begin"/>
        </w:r>
        <w:r>
          <w:rPr>
            <w:noProof/>
            <w:webHidden/>
          </w:rPr>
          <w:instrText xml:space="preserve"> PAGEREF _Toc517270326 \h </w:instrText>
        </w:r>
        <w:r>
          <w:rPr>
            <w:noProof/>
            <w:webHidden/>
          </w:rPr>
        </w:r>
        <w:r>
          <w:rPr>
            <w:noProof/>
            <w:webHidden/>
          </w:rPr>
          <w:fldChar w:fldCharType="separate"/>
        </w:r>
        <w:r w:rsidR="0033032C">
          <w:rPr>
            <w:noProof/>
            <w:webHidden/>
          </w:rPr>
          <w:t>14</w:t>
        </w:r>
        <w:r>
          <w:rPr>
            <w:noProof/>
            <w:webHidden/>
          </w:rPr>
          <w:fldChar w:fldCharType="end"/>
        </w:r>
      </w:hyperlink>
    </w:p>
    <w:p w:rsidR="0038221D" w:rsidRDefault="0038221D" w:rsidP="0038221D">
      <w:pPr>
        <w:pStyle w:val="TOC2"/>
        <w:rPr>
          <w:rFonts w:asciiTheme="minorHAnsi" w:eastAsiaTheme="minorEastAsia" w:hAnsiTheme="minorHAnsi" w:cstheme="minorBidi"/>
          <w:noProof/>
          <w:color w:val="auto"/>
          <w:sz w:val="22"/>
          <w:lang w:eastAsia="en-AU"/>
        </w:rPr>
      </w:pPr>
      <w:hyperlink w:anchor="_Toc517270327" w:history="1">
        <w:r w:rsidRPr="005B1E0C">
          <w:rPr>
            <w:rStyle w:val="Hyperlink"/>
            <w:noProof/>
          </w:rPr>
          <w:t>2.4 Research Methodology</w:t>
        </w:r>
        <w:r>
          <w:rPr>
            <w:noProof/>
            <w:webHidden/>
          </w:rPr>
          <w:tab/>
        </w:r>
        <w:r>
          <w:rPr>
            <w:noProof/>
            <w:webHidden/>
          </w:rPr>
          <w:fldChar w:fldCharType="begin"/>
        </w:r>
        <w:r>
          <w:rPr>
            <w:noProof/>
            <w:webHidden/>
          </w:rPr>
          <w:instrText xml:space="preserve"> PAGEREF _Toc517270327 \h </w:instrText>
        </w:r>
        <w:r>
          <w:rPr>
            <w:noProof/>
            <w:webHidden/>
          </w:rPr>
        </w:r>
        <w:r>
          <w:rPr>
            <w:noProof/>
            <w:webHidden/>
          </w:rPr>
          <w:fldChar w:fldCharType="separate"/>
        </w:r>
        <w:r w:rsidR="0033032C">
          <w:rPr>
            <w:noProof/>
            <w:webHidden/>
          </w:rPr>
          <w:t>15</w:t>
        </w:r>
        <w:r>
          <w:rPr>
            <w:noProof/>
            <w:webHidden/>
          </w:rPr>
          <w:fldChar w:fldCharType="end"/>
        </w:r>
      </w:hyperlink>
    </w:p>
    <w:p w:rsidR="0038221D" w:rsidRDefault="0038221D" w:rsidP="0038221D">
      <w:pPr>
        <w:pStyle w:val="TOC2"/>
        <w:rPr>
          <w:rFonts w:asciiTheme="minorHAnsi" w:eastAsiaTheme="minorEastAsia" w:hAnsiTheme="minorHAnsi" w:cstheme="minorBidi"/>
          <w:noProof/>
          <w:color w:val="auto"/>
          <w:sz w:val="22"/>
          <w:lang w:eastAsia="en-AU"/>
        </w:rPr>
      </w:pPr>
      <w:hyperlink w:anchor="_Toc517270328" w:history="1">
        <w:r w:rsidRPr="005B1E0C">
          <w:rPr>
            <w:rStyle w:val="Hyperlink"/>
            <w:noProof/>
          </w:rPr>
          <w:t>2.5 Defining Rurality</w:t>
        </w:r>
        <w:r>
          <w:rPr>
            <w:noProof/>
            <w:webHidden/>
          </w:rPr>
          <w:tab/>
        </w:r>
        <w:r>
          <w:rPr>
            <w:noProof/>
            <w:webHidden/>
          </w:rPr>
          <w:fldChar w:fldCharType="begin"/>
        </w:r>
        <w:r>
          <w:rPr>
            <w:noProof/>
            <w:webHidden/>
          </w:rPr>
          <w:instrText xml:space="preserve"> PAGEREF _Toc517270328 \h </w:instrText>
        </w:r>
        <w:r>
          <w:rPr>
            <w:noProof/>
            <w:webHidden/>
          </w:rPr>
        </w:r>
        <w:r>
          <w:rPr>
            <w:noProof/>
            <w:webHidden/>
          </w:rPr>
          <w:fldChar w:fldCharType="separate"/>
        </w:r>
        <w:r w:rsidR="0033032C">
          <w:rPr>
            <w:noProof/>
            <w:webHidden/>
          </w:rPr>
          <w:t>16</w:t>
        </w:r>
        <w:r>
          <w:rPr>
            <w:noProof/>
            <w:webHidden/>
          </w:rPr>
          <w:fldChar w:fldCharType="end"/>
        </w:r>
      </w:hyperlink>
    </w:p>
    <w:p w:rsidR="0038221D" w:rsidRDefault="0038221D" w:rsidP="0038221D">
      <w:pPr>
        <w:pStyle w:val="TOC2"/>
        <w:rPr>
          <w:rFonts w:asciiTheme="minorHAnsi" w:eastAsiaTheme="minorEastAsia" w:hAnsiTheme="minorHAnsi" w:cstheme="minorBidi"/>
          <w:noProof/>
          <w:color w:val="auto"/>
          <w:sz w:val="22"/>
          <w:lang w:eastAsia="en-AU"/>
        </w:rPr>
      </w:pPr>
      <w:hyperlink w:anchor="_Toc517270329" w:history="1">
        <w:r w:rsidRPr="005B1E0C">
          <w:rPr>
            <w:rStyle w:val="Hyperlink"/>
            <w:noProof/>
          </w:rPr>
          <w:t>2.6 Student Demographics</w:t>
        </w:r>
        <w:r>
          <w:rPr>
            <w:noProof/>
            <w:webHidden/>
          </w:rPr>
          <w:tab/>
        </w:r>
        <w:r>
          <w:rPr>
            <w:noProof/>
            <w:webHidden/>
          </w:rPr>
          <w:fldChar w:fldCharType="begin"/>
        </w:r>
        <w:r>
          <w:rPr>
            <w:noProof/>
            <w:webHidden/>
          </w:rPr>
          <w:instrText xml:space="preserve"> PAGEREF _Toc517270329 \h </w:instrText>
        </w:r>
        <w:r>
          <w:rPr>
            <w:noProof/>
            <w:webHidden/>
          </w:rPr>
        </w:r>
        <w:r>
          <w:rPr>
            <w:noProof/>
            <w:webHidden/>
          </w:rPr>
          <w:fldChar w:fldCharType="separate"/>
        </w:r>
        <w:r w:rsidR="0033032C">
          <w:rPr>
            <w:noProof/>
            <w:webHidden/>
          </w:rPr>
          <w:t>18</w:t>
        </w:r>
        <w:r>
          <w:rPr>
            <w:noProof/>
            <w:webHidden/>
          </w:rPr>
          <w:fldChar w:fldCharType="end"/>
        </w:r>
      </w:hyperlink>
    </w:p>
    <w:p w:rsidR="0038221D" w:rsidRDefault="0038221D" w:rsidP="0038221D">
      <w:pPr>
        <w:pStyle w:val="TOC2"/>
        <w:rPr>
          <w:rFonts w:asciiTheme="minorHAnsi" w:eastAsiaTheme="minorEastAsia" w:hAnsiTheme="minorHAnsi" w:cstheme="minorBidi"/>
          <w:noProof/>
          <w:color w:val="auto"/>
          <w:sz w:val="22"/>
          <w:lang w:eastAsia="en-AU"/>
        </w:rPr>
      </w:pPr>
      <w:hyperlink w:anchor="_Toc517270330" w:history="1">
        <w:r w:rsidRPr="005B1E0C">
          <w:rPr>
            <w:rStyle w:val="Hyperlink"/>
            <w:noProof/>
          </w:rPr>
          <w:t>2.7 Study Details</w:t>
        </w:r>
        <w:r>
          <w:rPr>
            <w:noProof/>
            <w:webHidden/>
          </w:rPr>
          <w:tab/>
        </w:r>
        <w:r>
          <w:rPr>
            <w:noProof/>
            <w:webHidden/>
          </w:rPr>
          <w:fldChar w:fldCharType="begin"/>
        </w:r>
        <w:r>
          <w:rPr>
            <w:noProof/>
            <w:webHidden/>
          </w:rPr>
          <w:instrText xml:space="preserve"> PAGEREF _Toc517270330 \h </w:instrText>
        </w:r>
        <w:r>
          <w:rPr>
            <w:noProof/>
            <w:webHidden/>
          </w:rPr>
        </w:r>
        <w:r>
          <w:rPr>
            <w:noProof/>
            <w:webHidden/>
          </w:rPr>
          <w:fldChar w:fldCharType="separate"/>
        </w:r>
        <w:r w:rsidR="0033032C">
          <w:rPr>
            <w:noProof/>
            <w:webHidden/>
          </w:rPr>
          <w:t>20</w:t>
        </w:r>
        <w:r>
          <w:rPr>
            <w:noProof/>
            <w:webHidden/>
          </w:rPr>
          <w:fldChar w:fldCharType="end"/>
        </w:r>
      </w:hyperlink>
    </w:p>
    <w:p w:rsidR="0038221D" w:rsidRDefault="0038221D">
      <w:pPr>
        <w:pStyle w:val="TOC1"/>
        <w:rPr>
          <w:rFonts w:asciiTheme="minorHAnsi" w:eastAsiaTheme="minorEastAsia" w:hAnsiTheme="minorHAnsi" w:cstheme="minorBidi"/>
          <w:b w:val="0"/>
          <w:color w:val="auto"/>
          <w:sz w:val="22"/>
          <w:lang w:eastAsia="en-AU"/>
        </w:rPr>
      </w:pPr>
      <w:hyperlink w:anchor="_Toc517270331" w:history="1">
        <w:r w:rsidRPr="005B1E0C">
          <w:rPr>
            <w:rStyle w:val="Hyperlink"/>
          </w:rPr>
          <w:t>3. Income and Expenditure</w:t>
        </w:r>
        <w:r>
          <w:rPr>
            <w:webHidden/>
          </w:rPr>
          <w:tab/>
        </w:r>
        <w:r>
          <w:rPr>
            <w:webHidden/>
          </w:rPr>
          <w:fldChar w:fldCharType="begin"/>
        </w:r>
        <w:r>
          <w:rPr>
            <w:webHidden/>
          </w:rPr>
          <w:instrText xml:space="preserve"> PAGEREF _Toc517270331 \h </w:instrText>
        </w:r>
        <w:r>
          <w:rPr>
            <w:webHidden/>
          </w:rPr>
        </w:r>
        <w:r>
          <w:rPr>
            <w:webHidden/>
          </w:rPr>
          <w:fldChar w:fldCharType="separate"/>
        </w:r>
        <w:r w:rsidR="0033032C">
          <w:rPr>
            <w:webHidden/>
          </w:rPr>
          <w:t>23</w:t>
        </w:r>
        <w:r>
          <w:rPr>
            <w:webHidden/>
          </w:rPr>
          <w:fldChar w:fldCharType="end"/>
        </w:r>
      </w:hyperlink>
    </w:p>
    <w:p w:rsidR="0038221D" w:rsidRDefault="0038221D" w:rsidP="0038221D">
      <w:pPr>
        <w:pStyle w:val="TOC2"/>
        <w:rPr>
          <w:rFonts w:asciiTheme="minorHAnsi" w:eastAsiaTheme="minorEastAsia" w:hAnsiTheme="minorHAnsi" w:cstheme="minorBidi"/>
          <w:noProof/>
          <w:color w:val="auto"/>
          <w:sz w:val="22"/>
          <w:lang w:eastAsia="en-AU"/>
        </w:rPr>
      </w:pPr>
      <w:hyperlink w:anchor="_Toc517270332" w:history="1">
        <w:r w:rsidRPr="005B1E0C">
          <w:rPr>
            <w:rStyle w:val="Hyperlink"/>
            <w:noProof/>
          </w:rPr>
          <w:t>3.1 Government Support</w:t>
        </w:r>
        <w:r>
          <w:rPr>
            <w:noProof/>
            <w:webHidden/>
          </w:rPr>
          <w:tab/>
        </w:r>
        <w:r>
          <w:rPr>
            <w:noProof/>
            <w:webHidden/>
          </w:rPr>
          <w:fldChar w:fldCharType="begin"/>
        </w:r>
        <w:r>
          <w:rPr>
            <w:noProof/>
            <w:webHidden/>
          </w:rPr>
          <w:instrText xml:space="preserve"> PAGEREF _Toc517270332 \h </w:instrText>
        </w:r>
        <w:r>
          <w:rPr>
            <w:noProof/>
            <w:webHidden/>
          </w:rPr>
        </w:r>
        <w:r>
          <w:rPr>
            <w:noProof/>
            <w:webHidden/>
          </w:rPr>
          <w:fldChar w:fldCharType="separate"/>
        </w:r>
        <w:r w:rsidR="0033032C">
          <w:rPr>
            <w:noProof/>
            <w:webHidden/>
          </w:rPr>
          <w:t>24</w:t>
        </w:r>
        <w:r>
          <w:rPr>
            <w:noProof/>
            <w:webHidden/>
          </w:rPr>
          <w:fldChar w:fldCharType="end"/>
        </w:r>
      </w:hyperlink>
    </w:p>
    <w:p w:rsidR="0038221D" w:rsidRDefault="0038221D" w:rsidP="0038221D">
      <w:pPr>
        <w:pStyle w:val="TOC2"/>
        <w:rPr>
          <w:rFonts w:asciiTheme="minorHAnsi" w:eastAsiaTheme="minorEastAsia" w:hAnsiTheme="minorHAnsi" w:cstheme="minorBidi"/>
          <w:noProof/>
          <w:color w:val="auto"/>
          <w:sz w:val="22"/>
          <w:lang w:eastAsia="en-AU"/>
        </w:rPr>
      </w:pPr>
      <w:hyperlink w:anchor="_Toc517270333" w:history="1">
        <w:r w:rsidRPr="005B1E0C">
          <w:rPr>
            <w:rStyle w:val="Hyperlink"/>
            <w:noProof/>
          </w:rPr>
          <w:t>3.2 Additional Government Support</w:t>
        </w:r>
        <w:r>
          <w:rPr>
            <w:noProof/>
            <w:webHidden/>
          </w:rPr>
          <w:tab/>
        </w:r>
        <w:r>
          <w:rPr>
            <w:noProof/>
            <w:webHidden/>
          </w:rPr>
          <w:fldChar w:fldCharType="begin"/>
        </w:r>
        <w:r>
          <w:rPr>
            <w:noProof/>
            <w:webHidden/>
          </w:rPr>
          <w:instrText xml:space="preserve"> PAGEREF _Toc517270333 \h </w:instrText>
        </w:r>
        <w:r>
          <w:rPr>
            <w:noProof/>
            <w:webHidden/>
          </w:rPr>
        </w:r>
        <w:r>
          <w:rPr>
            <w:noProof/>
            <w:webHidden/>
          </w:rPr>
          <w:fldChar w:fldCharType="separate"/>
        </w:r>
        <w:r w:rsidR="0033032C">
          <w:rPr>
            <w:noProof/>
            <w:webHidden/>
          </w:rPr>
          <w:t>27</w:t>
        </w:r>
        <w:r>
          <w:rPr>
            <w:noProof/>
            <w:webHidden/>
          </w:rPr>
          <w:fldChar w:fldCharType="end"/>
        </w:r>
      </w:hyperlink>
    </w:p>
    <w:p w:rsidR="0038221D" w:rsidRDefault="0038221D" w:rsidP="0038221D">
      <w:pPr>
        <w:pStyle w:val="TOC2"/>
        <w:rPr>
          <w:rFonts w:asciiTheme="minorHAnsi" w:eastAsiaTheme="minorEastAsia" w:hAnsiTheme="minorHAnsi" w:cstheme="minorBidi"/>
          <w:noProof/>
          <w:color w:val="auto"/>
          <w:sz w:val="22"/>
          <w:lang w:eastAsia="en-AU"/>
        </w:rPr>
      </w:pPr>
      <w:hyperlink w:anchor="_Toc517270334" w:history="1">
        <w:r w:rsidRPr="005B1E0C">
          <w:rPr>
            <w:rStyle w:val="Hyperlink"/>
            <w:noProof/>
          </w:rPr>
          <w:t>3.3 Employment</w:t>
        </w:r>
        <w:r>
          <w:rPr>
            <w:noProof/>
            <w:webHidden/>
          </w:rPr>
          <w:tab/>
        </w:r>
        <w:r>
          <w:rPr>
            <w:noProof/>
            <w:webHidden/>
          </w:rPr>
          <w:fldChar w:fldCharType="begin"/>
        </w:r>
        <w:r>
          <w:rPr>
            <w:noProof/>
            <w:webHidden/>
          </w:rPr>
          <w:instrText xml:space="preserve"> PAGEREF _Toc517270334 \h </w:instrText>
        </w:r>
        <w:r>
          <w:rPr>
            <w:noProof/>
            <w:webHidden/>
          </w:rPr>
        </w:r>
        <w:r>
          <w:rPr>
            <w:noProof/>
            <w:webHidden/>
          </w:rPr>
          <w:fldChar w:fldCharType="separate"/>
        </w:r>
        <w:r w:rsidR="0033032C">
          <w:rPr>
            <w:noProof/>
            <w:webHidden/>
          </w:rPr>
          <w:t>29</w:t>
        </w:r>
        <w:r>
          <w:rPr>
            <w:noProof/>
            <w:webHidden/>
          </w:rPr>
          <w:fldChar w:fldCharType="end"/>
        </w:r>
      </w:hyperlink>
    </w:p>
    <w:p w:rsidR="0038221D" w:rsidRDefault="0038221D" w:rsidP="0038221D">
      <w:pPr>
        <w:pStyle w:val="TOC2"/>
        <w:rPr>
          <w:rFonts w:asciiTheme="minorHAnsi" w:eastAsiaTheme="minorEastAsia" w:hAnsiTheme="minorHAnsi" w:cstheme="minorBidi"/>
          <w:noProof/>
          <w:color w:val="auto"/>
          <w:sz w:val="22"/>
          <w:lang w:eastAsia="en-AU"/>
        </w:rPr>
      </w:pPr>
      <w:hyperlink w:anchor="_Toc517270335" w:history="1">
        <w:r w:rsidRPr="005B1E0C">
          <w:rPr>
            <w:rStyle w:val="Hyperlink"/>
            <w:noProof/>
          </w:rPr>
          <w:t>3.4 Scholarships</w:t>
        </w:r>
        <w:r>
          <w:rPr>
            <w:noProof/>
            <w:webHidden/>
          </w:rPr>
          <w:tab/>
        </w:r>
        <w:r>
          <w:rPr>
            <w:noProof/>
            <w:webHidden/>
          </w:rPr>
          <w:fldChar w:fldCharType="begin"/>
        </w:r>
        <w:r>
          <w:rPr>
            <w:noProof/>
            <w:webHidden/>
          </w:rPr>
          <w:instrText xml:space="preserve"> PAGEREF _Toc517270335 \h </w:instrText>
        </w:r>
        <w:r>
          <w:rPr>
            <w:noProof/>
            <w:webHidden/>
          </w:rPr>
        </w:r>
        <w:r>
          <w:rPr>
            <w:noProof/>
            <w:webHidden/>
          </w:rPr>
          <w:fldChar w:fldCharType="separate"/>
        </w:r>
        <w:r w:rsidR="0033032C">
          <w:rPr>
            <w:noProof/>
            <w:webHidden/>
          </w:rPr>
          <w:t>31</w:t>
        </w:r>
        <w:r>
          <w:rPr>
            <w:noProof/>
            <w:webHidden/>
          </w:rPr>
          <w:fldChar w:fldCharType="end"/>
        </w:r>
      </w:hyperlink>
    </w:p>
    <w:p w:rsidR="0038221D" w:rsidRDefault="0038221D" w:rsidP="0038221D">
      <w:pPr>
        <w:pStyle w:val="TOC2"/>
        <w:rPr>
          <w:rFonts w:asciiTheme="minorHAnsi" w:eastAsiaTheme="minorEastAsia" w:hAnsiTheme="minorHAnsi" w:cstheme="minorBidi"/>
          <w:noProof/>
          <w:color w:val="auto"/>
          <w:sz w:val="22"/>
          <w:lang w:eastAsia="en-AU"/>
        </w:rPr>
      </w:pPr>
      <w:hyperlink w:anchor="_Toc517270336" w:history="1">
        <w:r w:rsidRPr="005B1E0C">
          <w:rPr>
            <w:rStyle w:val="Hyperlink"/>
            <w:noProof/>
          </w:rPr>
          <w:t>3.5 Expenditure</w:t>
        </w:r>
        <w:r>
          <w:rPr>
            <w:noProof/>
            <w:webHidden/>
          </w:rPr>
          <w:tab/>
        </w:r>
        <w:r>
          <w:rPr>
            <w:noProof/>
            <w:webHidden/>
          </w:rPr>
          <w:fldChar w:fldCharType="begin"/>
        </w:r>
        <w:r>
          <w:rPr>
            <w:noProof/>
            <w:webHidden/>
          </w:rPr>
          <w:instrText xml:space="preserve"> PAGEREF _Toc517270336 \h </w:instrText>
        </w:r>
        <w:r>
          <w:rPr>
            <w:noProof/>
            <w:webHidden/>
          </w:rPr>
        </w:r>
        <w:r>
          <w:rPr>
            <w:noProof/>
            <w:webHidden/>
          </w:rPr>
          <w:fldChar w:fldCharType="separate"/>
        </w:r>
        <w:r w:rsidR="0033032C">
          <w:rPr>
            <w:noProof/>
            <w:webHidden/>
          </w:rPr>
          <w:t>33</w:t>
        </w:r>
        <w:r>
          <w:rPr>
            <w:noProof/>
            <w:webHidden/>
          </w:rPr>
          <w:fldChar w:fldCharType="end"/>
        </w:r>
      </w:hyperlink>
    </w:p>
    <w:p w:rsidR="0038221D" w:rsidRDefault="0038221D" w:rsidP="0038221D">
      <w:pPr>
        <w:pStyle w:val="TOC2"/>
        <w:rPr>
          <w:rFonts w:asciiTheme="minorHAnsi" w:eastAsiaTheme="minorEastAsia" w:hAnsiTheme="minorHAnsi" w:cstheme="minorBidi"/>
          <w:noProof/>
          <w:color w:val="auto"/>
          <w:sz w:val="22"/>
          <w:lang w:eastAsia="en-AU"/>
        </w:rPr>
      </w:pPr>
      <w:hyperlink w:anchor="_Toc517270337" w:history="1">
        <w:r w:rsidRPr="005B1E0C">
          <w:rPr>
            <w:rStyle w:val="Hyperlink"/>
            <w:noProof/>
          </w:rPr>
          <w:t>3.6 Living Arrangements</w:t>
        </w:r>
        <w:r>
          <w:rPr>
            <w:noProof/>
            <w:webHidden/>
          </w:rPr>
          <w:tab/>
        </w:r>
        <w:r>
          <w:rPr>
            <w:noProof/>
            <w:webHidden/>
          </w:rPr>
          <w:fldChar w:fldCharType="begin"/>
        </w:r>
        <w:r>
          <w:rPr>
            <w:noProof/>
            <w:webHidden/>
          </w:rPr>
          <w:instrText xml:space="preserve"> PAGEREF _Toc517270337 \h </w:instrText>
        </w:r>
        <w:r>
          <w:rPr>
            <w:noProof/>
            <w:webHidden/>
          </w:rPr>
        </w:r>
        <w:r>
          <w:rPr>
            <w:noProof/>
            <w:webHidden/>
          </w:rPr>
          <w:fldChar w:fldCharType="separate"/>
        </w:r>
        <w:r w:rsidR="0033032C">
          <w:rPr>
            <w:noProof/>
            <w:webHidden/>
          </w:rPr>
          <w:t>37</w:t>
        </w:r>
        <w:r>
          <w:rPr>
            <w:noProof/>
            <w:webHidden/>
          </w:rPr>
          <w:fldChar w:fldCharType="end"/>
        </w:r>
      </w:hyperlink>
    </w:p>
    <w:p w:rsidR="0038221D" w:rsidRDefault="0038221D" w:rsidP="0038221D">
      <w:pPr>
        <w:pStyle w:val="TOC2"/>
        <w:rPr>
          <w:rFonts w:asciiTheme="minorHAnsi" w:eastAsiaTheme="minorEastAsia" w:hAnsiTheme="minorHAnsi" w:cstheme="minorBidi"/>
          <w:noProof/>
          <w:color w:val="auto"/>
          <w:sz w:val="22"/>
          <w:lang w:eastAsia="en-AU"/>
        </w:rPr>
      </w:pPr>
      <w:hyperlink w:anchor="_Toc517270338" w:history="1">
        <w:r w:rsidRPr="005B1E0C">
          <w:rPr>
            <w:rStyle w:val="Hyperlink"/>
            <w:noProof/>
            <w:lang w:val="en-US"/>
          </w:rPr>
          <w:t>3.7 Transport</w:t>
        </w:r>
        <w:r>
          <w:rPr>
            <w:noProof/>
            <w:webHidden/>
          </w:rPr>
          <w:tab/>
        </w:r>
        <w:r>
          <w:rPr>
            <w:noProof/>
            <w:webHidden/>
          </w:rPr>
          <w:fldChar w:fldCharType="begin"/>
        </w:r>
        <w:r>
          <w:rPr>
            <w:noProof/>
            <w:webHidden/>
          </w:rPr>
          <w:instrText xml:space="preserve"> PAGEREF _Toc517270338 \h </w:instrText>
        </w:r>
        <w:r>
          <w:rPr>
            <w:noProof/>
            <w:webHidden/>
          </w:rPr>
        </w:r>
        <w:r>
          <w:rPr>
            <w:noProof/>
            <w:webHidden/>
          </w:rPr>
          <w:fldChar w:fldCharType="separate"/>
        </w:r>
        <w:r w:rsidR="0033032C">
          <w:rPr>
            <w:noProof/>
            <w:webHidden/>
          </w:rPr>
          <w:t>40</w:t>
        </w:r>
        <w:r>
          <w:rPr>
            <w:noProof/>
            <w:webHidden/>
          </w:rPr>
          <w:fldChar w:fldCharType="end"/>
        </w:r>
      </w:hyperlink>
    </w:p>
    <w:p w:rsidR="0038221D" w:rsidRDefault="0038221D" w:rsidP="0038221D">
      <w:pPr>
        <w:pStyle w:val="TOC2"/>
        <w:rPr>
          <w:rFonts w:asciiTheme="minorHAnsi" w:eastAsiaTheme="minorEastAsia" w:hAnsiTheme="minorHAnsi" w:cstheme="minorBidi"/>
          <w:noProof/>
          <w:color w:val="auto"/>
          <w:sz w:val="22"/>
          <w:lang w:eastAsia="en-AU"/>
        </w:rPr>
      </w:pPr>
      <w:hyperlink w:anchor="_Toc517270339" w:history="1">
        <w:r w:rsidRPr="005B1E0C">
          <w:rPr>
            <w:rStyle w:val="Hyperlink"/>
            <w:noProof/>
          </w:rPr>
          <w:t>3.8 Financial Stress</w:t>
        </w:r>
        <w:r>
          <w:rPr>
            <w:noProof/>
            <w:webHidden/>
          </w:rPr>
          <w:tab/>
        </w:r>
        <w:r>
          <w:rPr>
            <w:noProof/>
            <w:webHidden/>
          </w:rPr>
          <w:fldChar w:fldCharType="begin"/>
        </w:r>
        <w:r>
          <w:rPr>
            <w:noProof/>
            <w:webHidden/>
          </w:rPr>
          <w:instrText xml:space="preserve"> PAGEREF _Toc517270339 \h </w:instrText>
        </w:r>
        <w:r>
          <w:rPr>
            <w:noProof/>
            <w:webHidden/>
          </w:rPr>
        </w:r>
        <w:r>
          <w:rPr>
            <w:noProof/>
            <w:webHidden/>
          </w:rPr>
          <w:fldChar w:fldCharType="separate"/>
        </w:r>
        <w:r w:rsidR="0033032C">
          <w:rPr>
            <w:noProof/>
            <w:webHidden/>
          </w:rPr>
          <w:t>42</w:t>
        </w:r>
        <w:r>
          <w:rPr>
            <w:noProof/>
            <w:webHidden/>
          </w:rPr>
          <w:fldChar w:fldCharType="end"/>
        </w:r>
      </w:hyperlink>
    </w:p>
    <w:p w:rsidR="0038221D" w:rsidRDefault="0038221D">
      <w:pPr>
        <w:pStyle w:val="TOC1"/>
        <w:rPr>
          <w:rFonts w:asciiTheme="minorHAnsi" w:eastAsiaTheme="minorEastAsia" w:hAnsiTheme="minorHAnsi" w:cstheme="minorBidi"/>
          <w:b w:val="0"/>
          <w:color w:val="auto"/>
          <w:sz w:val="22"/>
          <w:lang w:eastAsia="en-AU"/>
        </w:rPr>
      </w:pPr>
      <w:hyperlink w:anchor="_Toc517270340" w:history="1">
        <w:r w:rsidRPr="005B1E0C">
          <w:rPr>
            <w:rStyle w:val="Hyperlink"/>
            <w:lang w:val="en-US"/>
          </w:rPr>
          <w:t>4. Becoming and being a Student</w:t>
        </w:r>
        <w:r>
          <w:rPr>
            <w:webHidden/>
          </w:rPr>
          <w:tab/>
        </w:r>
        <w:r>
          <w:rPr>
            <w:webHidden/>
          </w:rPr>
          <w:fldChar w:fldCharType="begin"/>
        </w:r>
        <w:r>
          <w:rPr>
            <w:webHidden/>
          </w:rPr>
          <w:instrText xml:space="preserve"> PAGEREF _Toc517270340 \h </w:instrText>
        </w:r>
        <w:r>
          <w:rPr>
            <w:webHidden/>
          </w:rPr>
        </w:r>
        <w:r>
          <w:rPr>
            <w:webHidden/>
          </w:rPr>
          <w:fldChar w:fldCharType="separate"/>
        </w:r>
        <w:r w:rsidR="0033032C">
          <w:rPr>
            <w:webHidden/>
          </w:rPr>
          <w:t>47</w:t>
        </w:r>
        <w:r>
          <w:rPr>
            <w:webHidden/>
          </w:rPr>
          <w:fldChar w:fldCharType="end"/>
        </w:r>
      </w:hyperlink>
    </w:p>
    <w:p w:rsidR="0038221D" w:rsidRDefault="0038221D" w:rsidP="0038221D">
      <w:pPr>
        <w:pStyle w:val="TOC2"/>
        <w:rPr>
          <w:rFonts w:asciiTheme="minorHAnsi" w:eastAsiaTheme="minorEastAsia" w:hAnsiTheme="minorHAnsi" w:cstheme="minorBidi"/>
          <w:noProof/>
          <w:color w:val="auto"/>
          <w:sz w:val="22"/>
          <w:lang w:eastAsia="en-AU"/>
        </w:rPr>
      </w:pPr>
      <w:hyperlink w:anchor="_Toc517270341" w:history="1">
        <w:r w:rsidRPr="005B1E0C">
          <w:rPr>
            <w:rStyle w:val="Hyperlink"/>
            <w:noProof/>
            <w:lang w:val="en-US"/>
          </w:rPr>
          <w:t>4.1 Pathways</w:t>
        </w:r>
        <w:r>
          <w:rPr>
            <w:noProof/>
            <w:webHidden/>
          </w:rPr>
          <w:tab/>
        </w:r>
        <w:r>
          <w:rPr>
            <w:noProof/>
            <w:webHidden/>
          </w:rPr>
          <w:fldChar w:fldCharType="begin"/>
        </w:r>
        <w:r>
          <w:rPr>
            <w:noProof/>
            <w:webHidden/>
          </w:rPr>
          <w:instrText xml:space="preserve"> PAGEREF _Toc517270341 \h </w:instrText>
        </w:r>
        <w:r>
          <w:rPr>
            <w:noProof/>
            <w:webHidden/>
          </w:rPr>
        </w:r>
        <w:r>
          <w:rPr>
            <w:noProof/>
            <w:webHidden/>
          </w:rPr>
          <w:fldChar w:fldCharType="separate"/>
        </w:r>
        <w:r w:rsidR="0033032C">
          <w:rPr>
            <w:noProof/>
            <w:webHidden/>
          </w:rPr>
          <w:t>47</w:t>
        </w:r>
        <w:r>
          <w:rPr>
            <w:noProof/>
            <w:webHidden/>
          </w:rPr>
          <w:fldChar w:fldCharType="end"/>
        </w:r>
      </w:hyperlink>
    </w:p>
    <w:p w:rsidR="0038221D" w:rsidRDefault="0038221D" w:rsidP="0038221D">
      <w:pPr>
        <w:pStyle w:val="TOC2"/>
        <w:rPr>
          <w:rFonts w:asciiTheme="minorHAnsi" w:eastAsiaTheme="minorEastAsia" w:hAnsiTheme="minorHAnsi" w:cstheme="minorBidi"/>
          <w:noProof/>
          <w:color w:val="auto"/>
          <w:sz w:val="22"/>
          <w:lang w:eastAsia="en-AU"/>
        </w:rPr>
      </w:pPr>
      <w:hyperlink w:anchor="_Toc517270342" w:history="1">
        <w:r w:rsidRPr="005B1E0C">
          <w:rPr>
            <w:rStyle w:val="Hyperlink"/>
            <w:noProof/>
            <w:lang w:val="en-US"/>
          </w:rPr>
          <w:t>4.2 Motivation</w:t>
        </w:r>
        <w:r>
          <w:rPr>
            <w:noProof/>
            <w:webHidden/>
          </w:rPr>
          <w:tab/>
        </w:r>
        <w:r>
          <w:rPr>
            <w:noProof/>
            <w:webHidden/>
          </w:rPr>
          <w:fldChar w:fldCharType="begin"/>
        </w:r>
        <w:r>
          <w:rPr>
            <w:noProof/>
            <w:webHidden/>
          </w:rPr>
          <w:instrText xml:space="preserve"> PAGEREF _Toc517270342 \h </w:instrText>
        </w:r>
        <w:r>
          <w:rPr>
            <w:noProof/>
            <w:webHidden/>
          </w:rPr>
        </w:r>
        <w:r>
          <w:rPr>
            <w:noProof/>
            <w:webHidden/>
          </w:rPr>
          <w:fldChar w:fldCharType="separate"/>
        </w:r>
        <w:r w:rsidR="0033032C">
          <w:rPr>
            <w:noProof/>
            <w:webHidden/>
          </w:rPr>
          <w:t>48</w:t>
        </w:r>
        <w:r>
          <w:rPr>
            <w:noProof/>
            <w:webHidden/>
          </w:rPr>
          <w:fldChar w:fldCharType="end"/>
        </w:r>
      </w:hyperlink>
    </w:p>
    <w:p w:rsidR="0038221D" w:rsidRDefault="0038221D" w:rsidP="0038221D">
      <w:pPr>
        <w:pStyle w:val="TOC2"/>
        <w:rPr>
          <w:rFonts w:asciiTheme="minorHAnsi" w:eastAsiaTheme="minorEastAsia" w:hAnsiTheme="minorHAnsi" w:cstheme="minorBidi"/>
          <w:noProof/>
          <w:color w:val="auto"/>
          <w:sz w:val="22"/>
          <w:lang w:eastAsia="en-AU"/>
        </w:rPr>
      </w:pPr>
      <w:hyperlink w:anchor="_Toc517270343" w:history="1">
        <w:r w:rsidRPr="005B1E0C">
          <w:rPr>
            <w:rStyle w:val="Hyperlink"/>
            <w:noProof/>
            <w:lang w:val="en-US"/>
          </w:rPr>
          <w:t>4.3 Preparation</w:t>
        </w:r>
        <w:r>
          <w:rPr>
            <w:noProof/>
            <w:webHidden/>
          </w:rPr>
          <w:tab/>
        </w:r>
        <w:r>
          <w:rPr>
            <w:noProof/>
            <w:webHidden/>
          </w:rPr>
          <w:fldChar w:fldCharType="begin"/>
        </w:r>
        <w:r>
          <w:rPr>
            <w:noProof/>
            <w:webHidden/>
          </w:rPr>
          <w:instrText xml:space="preserve"> PAGEREF _Toc517270343 \h </w:instrText>
        </w:r>
        <w:r>
          <w:rPr>
            <w:noProof/>
            <w:webHidden/>
          </w:rPr>
        </w:r>
        <w:r>
          <w:rPr>
            <w:noProof/>
            <w:webHidden/>
          </w:rPr>
          <w:fldChar w:fldCharType="separate"/>
        </w:r>
        <w:r w:rsidR="0033032C">
          <w:rPr>
            <w:noProof/>
            <w:webHidden/>
          </w:rPr>
          <w:t>49</w:t>
        </w:r>
        <w:r>
          <w:rPr>
            <w:noProof/>
            <w:webHidden/>
          </w:rPr>
          <w:fldChar w:fldCharType="end"/>
        </w:r>
      </w:hyperlink>
    </w:p>
    <w:p w:rsidR="0038221D" w:rsidRDefault="0038221D" w:rsidP="0038221D">
      <w:pPr>
        <w:pStyle w:val="TOC2"/>
        <w:rPr>
          <w:rFonts w:asciiTheme="minorHAnsi" w:eastAsiaTheme="minorEastAsia" w:hAnsiTheme="minorHAnsi" w:cstheme="minorBidi"/>
          <w:noProof/>
          <w:color w:val="auto"/>
          <w:sz w:val="22"/>
          <w:lang w:eastAsia="en-AU"/>
        </w:rPr>
      </w:pPr>
      <w:hyperlink w:anchor="_Toc517270344" w:history="1">
        <w:r w:rsidRPr="005B1E0C">
          <w:rPr>
            <w:rStyle w:val="Hyperlink"/>
            <w:noProof/>
          </w:rPr>
          <w:t>4.4 Study Load and Mode</w:t>
        </w:r>
        <w:r>
          <w:rPr>
            <w:noProof/>
            <w:webHidden/>
          </w:rPr>
          <w:tab/>
        </w:r>
        <w:r>
          <w:rPr>
            <w:noProof/>
            <w:webHidden/>
          </w:rPr>
          <w:fldChar w:fldCharType="begin"/>
        </w:r>
        <w:r>
          <w:rPr>
            <w:noProof/>
            <w:webHidden/>
          </w:rPr>
          <w:instrText xml:space="preserve"> PAGEREF _Toc517270344 \h </w:instrText>
        </w:r>
        <w:r>
          <w:rPr>
            <w:noProof/>
            <w:webHidden/>
          </w:rPr>
        </w:r>
        <w:r>
          <w:rPr>
            <w:noProof/>
            <w:webHidden/>
          </w:rPr>
          <w:fldChar w:fldCharType="separate"/>
        </w:r>
        <w:r w:rsidR="0033032C">
          <w:rPr>
            <w:noProof/>
            <w:webHidden/>
          </w:rPr>
          <w:t>51</w:t>
        </w:r>
        <w:r>
          <w:rPr>
            <w:noProof/>
            <w:webHidden/>
          </w:rPr>
          <w:fldChar w:fldCharType="end"/>
        </w:r>
      </w:hyperlink>
    </w:p>
    <w:p w:rsidR="0038221D" w:rsidRDefault="0038221D" w:rsidP="0038221D">
      <w:pPr>
        <w:pStyle w:val="TOC2"/>
        <w:rPr>
          <w:rFonts w:asciiTheme="minorHAnsi" w:eastAsiaTheme="minorEastAsia" w:hAnsiTheme="minorHAnsi" w:cstheme="minorBidi"/>
          <w:noProof/>
          <w:color w:val="auto"/>
          <w:sz w:val="22"/>
          <w:lang w:eastAsia="en-AU"/>
        </w:rPr>
      </w:pPr>
      <w:hyperlink w:anchor="_Toc517270345" w:history="1">
        <w:r w:rsidRPr="005B1E0C">
          <w:rPr>
            <w:rStyle w:val="Hyperlink"/>
            <w:noProof/>
          </w:rPr>
          <w:t>4.5 Campus Location</w:t>
        </w:r>
        <w:r>
          <w:rPr>
            <w:noProof/>
            <w:webHidden/>
          </w:rPr>
          <w:tab/>
        </w:r>
        <w:r>
          <w:rPr>
            <w:noProof/>
            <w:webHidden/>
          </w:rPr>
          <w:fldChar w:fldCharType="begin"/>
        </w:r>
        <w:r>
          <w:rPr>
            <w:noProof/>
            <w:webHidden/>
          </w:rPr>
          <w:instrText xml:space="preserve"> PAGEREF _Toc517270345 \h </w:instrText>
        </w:r>
        <w:r>
          <w:rPr>
            <w:noProof/>
            <w:webHidden/>
          </w:rPr>
        </w:r>
        <w:r>
          <w:rPr>
            <w:noProof/>
            <w:webHidden/>
          </w:rPr>
          <w:fldChar w:fldCharType="separate"/>
        </w:r>
        <w:r w:rsidR="0033032C">
          <w:rPr>
            <w:noProof/>
            <w:webHidden/>
          </w:rPr>
          <w:t>53</w:t>
        </w:r>
        <w:r>
          <w:rPr>
            <w:noProof/>
            <w:webHidden/>
          </w:rPr>
          <w:fldChar w:fldCharType="end"/>
        </w:r>
      </w:hyperlink>
    </w:p>
    <w:p w:rsidR="0038221D" w:rsidRDefault="0038221D" w:rsidP="0038221D">
      <w:pPr>
        <w:pStyle w:val="TOC2"/>
        <w:rPr>
          <w:rFonts w:asciiTheme="minorHAnsi" w:eastAsiaTheme="minorEastAsia" w:hAnsiTheme="minorHAnsi" w:cstheme="minorBidi"/>
          <w:noProof/>
          <w:color w:val="auto"/>
          <w:sz w:val="22"/>
          <w:lang w:eastAsia="en-AU"/>
        </w:rPr>
      </w:pPr>
      <w:hyperlink w:anchor="_Toc517270346" w:history="1">
        <w:r w:rsidRPr="005B1E0C">
          <w:rPr>
            <w:rStyle w:val="Hyperlink"/>
            <w:noProof/>
            <w:lang w:val="en-US"/>
          </w:rPr>
          <w:t>4.6 Course Placements</w:t>
        </w:r>
        <w:r>
          <w:rPr>
            <w:noProof/>
            <w:webHidden/>
          </w:rPr>
          <w:tab/>
        </w:r>
        <w:r>
          <w:rPr>
            <w:noProof/>
            <w:webHidden/>
          </w:rPr>
          <w:fldChar w:fldCharType="begin"/>
        </w:r>
        <w:r>
          <w:rPr>
            <w:noProof/>
            <w:webHidden/>
          </w:rPr>
          <w:instrText xml:space="preserve"> PAGEREF _Toc517270346 \h </w:instrText>
        </w:r>
        <w:r>
          <w:rPr>
            <w:noProof/>
            <w:webHidden/>
          </w:rPr>
        </w:r>
        <w:r>
          <w:rPr>
            <w:noProof/>
            <w:webHidden/>
          </w:rPr>
          <w:fldChar w:fldCharType="separate"/>
        </w:r>
        <w:r w:rsidR="0033032C">
          <w:rPr>
            <w:noProof/>
            <w:webHidden/>
          </w:rPr>
          <w:t>55</w:t>
        </w:r>
        <w:r>
          <w:rPr>
            <w:noProof/>
            <w:webHidden/>
          </w:rPr>
          <w:fldChar w:fldCharType="end"/>
        </w:r>
      </w:hyperlink>
    </w:p>
    <w:p w:rsidR="0038221D" w:rsidRDefault="0038221D" w:rsidP="0038221D">
      <w:pPr>
        <w:pStyle w:val="TOC2"/>
        <w:rPr>
          <w:rFonts w:asciiTheme="minorHAnsi" w:eastAsiaTheme="minorEastAsia" w:hAnsiTheme="minorHAnsi" w:cstheme="minorBidi"/>
          <w:noProof/>
          <w:color w:val="auto"/>
          <w:sz w:val="22"/>
          <w:lang w:eastAsia="en-AU"/>
        </w:rPr>
      </w:pPr>
      <w:hyperlink w:anchor="_Toc517270347" w:history="1">
        <w:r w:rsidRPr="005B1E0C">
          <w:rPr>
            <w:rStyle w:val="Hyperlink"/>
            <w:noProof/>
            <w:lang w:val="en-US"/>
          </w:rPr>
          <w:t>4.7 Deferrals/Withdrawals</w:t>
        </w:r>
        <w:r>
          <w:rPr>
            <w:noProof/>
            <w:webHidden/>
          </w:rPr>
          <w:tab/>
        </w:r>
        <w:r>
          <w:rPr>
            <w:noProof/>
            <w:webHidden/>
          </w:rPr>
          <w:fldChar w:fldCharType="begin"/>
        </w:r>
        <w:r>
          <w:rPr>
            <w:noProof/>
            <w:webHidden/>
          </w:rPr>
          <w:instrText xml:space="preserve"> PAGEREF _Toc517270347 \h </w:instrText>
        </w:r>
        <w:r>
          <w:rPr>
            <w:noProof/>
            <w:webHidden/>
          </w:rPr>
        </w:r>
        <w:r>
          <w:rPr>
            <w:noProof/>
            <w:webHidden/>
          </w:rPr>
          <w:fldChar w:fldCharType="separate"/>
        </w:r>
        <w:r w:rsidR="0033032C">
          <w:rPr>
            <w:noProof/>
            <w:webHidden/>
          </w:rPr>
          <w:t>57</w:t>
        </w:r>
        <w:r>
          <w:rPr>
            <w:noProof/>
            <w:webHidden/>
          </w:rPr>
          <w:fldChar w:fldCharType="end"/>
        </w:r>
      </w:hyperlink>
    </w:p>
    <w:p w:rsidR="0038221D" w:rsidRDefault="0038221D" w:rsidP="0038221D">
      <w:pPr>
        <w:pStyle w:val="TOC2"/>
        <w:rPr>
          <w:rFonts w:asciiTheme="minorHAnsi" w:eastAsiaTheme="minorEastAsia" w:hAnsiTheme="minorHAnsi" w:cstheme="minorBidi"/>
          <w:noProof/>
          <w:color w:val="auto"/>
          <w:sz w:val="22"/>
          <w:lang w:eastAsia="en-AU"/>
        </w:rPr>
      </w:pPr>
      <w:hyperlink w:anchor="_Toc517270348" w:history="1">
        <w:r w:rsidRPr="005B1E0C">
          <w:rPr>
            <w:rStyle w:val="Hyperlink"/>
            <w:noProof/>
            <w:lang w:val="en-US"/>
          </w:rPr>
          <w:t>4.8 Adjustment</w:t>
        </w:r>
        <w:r>
          <w:rPr>
            <w:noProof/>
            <w:webHidden/>
          </w:rPr>
          <w:tab/>
        </w:r>
        <w:r>
          <w:rPr>
            <w:noProof/>
            <w:webHidden/>
          </w:rPr>
          <w:fldChar w:fldCharType="begin"/>
        </w:r>
        <w:r>
          <w:rPr>
            <w:noProof/>
            <w:webHidden/>
          </w:rPr>
          <w:instrText xml:space="preserve"> PAGEREF _Toc517270348 \h </w:instrText>
        </w:r>
        <w:r>
          <w:rPr>
            <w:noProof/>
            <w:webHidden/>
          </w:rPr>
        </w:r>
        <w:r>
          <w:rPr>
            <w:noProof/>
            <w:webHidden/>
          </w:rPr>
          <w:fldChar w:fldCharType="separate"/>
        </w:r>
        <w:r w:rsidR="0033032C">
          <w:rPr>
            <w:noProof/>
            <w:webHidden/>
          </w:rPr>
          <w:t>58</w:t>
        </w:r>
        <w:r>
          <w:rPr>
            <w:noProof/>
            <w:webHidden/>
          </w:rPr>
          <w:fldChar w:fldCharType="end"/>
        </w:r>
      </w:hyperlink>
    </w:p>
    <w:p w:rsidR="0038221D" w:rsidRDefault="0038221D">
      <w:pPr>
        <w:pStyle w:val="TOC1"/>
        <w:rPr>
          <w:rFonts w:asciiTheme="minorHAnsi" w:eastAsiaTheme="minorEastAsia" w:hAnsiTheme="minorHAnsi" w:cstheme="minorBidi"/>
          <w:b w:val="0"/>
          <w:color w:val="auto"/>
          <w:sz w:val="22"/>
          <w:lang w:eastAsia="en-AU"/>
        </w:rPr>
      </w:pPr>
      <w:hyperlink w:anchor="_Toc517270349" w:history="1">
        <w:r w:rsidRPr="005B1E0C">
          <w:rPr>
            <w:rStyle w:val="Hyperlink"/>
            <w:lang w:val="en-US"/>
          </w:rPr>
          <w:t>5. Study Limitations</w:t>
        </w:r>
        <w:r>
          <w:rPr>
            <w:webHidden/>
          </w:rPr>
          <w:tab/>
        </w:r>
        <w:r>
          <w:rPr>
            <w:webHidden/>
          </w:rPr>
          <w:fldChar w:fldCharType="begin"/>
        </w:r>
        <w:r>
          <w:rPr>
            <w:webHidden/>
          </w:rPr>
          <w:instrText xml:space="preserve"> PAGEREF _Toc517270349 \h </w:instrText>
        </w:r>
        <w:r>
          <w:rPr>
            <w:webHidden/>
          </w:rPr>
        </w:r>
        <w:r>
          <w:rPr>
            <w:webHidden/>
          </w:rPr>
          <w:fldChar w:fldCharType="separate"/>
        </w:r>
        <w:r w:rsidR="0033032C">
          <w:rPr>
            <w:webHidden/>
          </w:rPr>
          <w:t>62</w:t>
        </w:r>
        <w:r>
          <w:rPr>
            <w:webHidden/>
          </w:rPr>
          <w:fldChar w:fldCharType="end"/>
        </w:r>
      </w:hyperlink>
    </w:p>
    <w:p w:rsidR="0038221D" w:rsidRDefault="0038221D">
      <w:pPr>
        <w:pStyle w:val="TOC1"/>
        <w:rPr>
          <w:rFonts w:asciiTheme="minorHAnsi" w:eastAsiaTheme="minorEastAsia" w:hAnsiTheme="minorHAnsi" w:cstheme="minorBidi"/>
          <w:b w:val="0"/>
          <w:color w:val="auto"/>
          <w:sz w:val="22"/>
          <w:lang w:eastAsia="en-AU"/>
        </w:rPr>
      </w:pPr>
      <w:hyperlink w:anchor="_Toc517270350" w:history="1">
        <w:r w:rsidRPr="005B1E0C">
          <w:rPr>
            <w:rStyle w:val="Hyperlink"/>
            <w:lang w:val="en-US"/>
          </w:rPr>
          <w:t>6. Conclusions</w:t>
        </w:r>
        <w:r>
          <w:rPr>
            <w:webHidden/>
          </w:rPr>
          <w:tab/>
        </w:r>
        <w:r>
          <w:rPr>
            <w:webHidden/>
          </w:rPr>
          <w:fldChar w:fldCharType="begin"/>
        </w:r>
        <w:r>
          <w:rPr>
            <w:webHidden/>
          </w:rPr>
          <w:instrText xml:space="preserve"> PAGEREF _Toc517270350 \h </w:instrText>
        </w:r>
        <w:r>
          <w:rPr>
            <w:webHidden/>
          </w:rPr>
        </w:r>
        <w:r>
          <w:rPr>
            <w:webHidden/>
          </w:rPr>
          <w:fldChar w:fldCharType="separate"/>
        </w:r>
        <w:r w:rsidR="0033032C">
          <w:rPr>
            <w:webHidden/>
          </w:rPr>
          <w:t>63</w:t>
        </w:r>
        <w:r>
          <w:rPr>
            <w:webHidden/>
          </w:rPr>
          <w:fldChar w:fldCharType="end"/>
        </w:r>
      </w:hyperlink>
    </w:p>
    <w:p w:rsidR="0038221D" w:rsidRDefault="0038221D">
      <w:pPr>
        <w:pStyle w:val="TOC1"/>
        <w:rPr>
          <w:rFonts w:asciiTheme="minorHAnsi" w:eastAsiaTheme="minorEastAsia" w:hAnsiTheme="minorHAnsi" w:cstheme="minorBidi"/>
          <w:b w:val="0"/>
          <w:color w:val="auto"/>
          <w:sz w:val="22"/>
          <w:lang w:eastAsia="en-AU"/>
        </w:rPr>
      </w:pPr>
      <w:hyperlink w:anchor="_Toc517270351" w:history="1">
        <w:r w:rsidRPr="005B1E0C">
          <w:rPr>
            <w:rStyle w:val="Hyperlink"/>
            <w:lang w:val="en-US"/>
          </w:rPr>
          <w:t>7. References</w:t>
        </w:r>
        <w:r>
          <w:rPr>
            <w:webHidden/>
          </w:rPr>
          <w:tab/>
        </w:r>
        <w:r>
          <w:rPr>
            <w:webHidden/>
          </w:rPr>
          <w:fldChar w:fldCharType="begin"/>
        </w:r>
        <w:r>
          <w:rPr>
            <w:webHidden/>
          </w:rPr>
          <w:instrText xml:space="preserve"> PAGEREF _Toc517270351 \h </w:instrText>
        </w:r>
        <w:r>
          <w:rPr>
            <w:webHidden/>
          </w:rPr>
        </w:r>
        <w:r>
          <w:rPr>
            <w:webHidden/>
          </w:rPr>
          <w:fldChar w:fldCharType="separate"/>
        </w:r>
        <w:r w:rsidR="0033032C">
          <w:rPr>
            <w:webHidden/>
          </w:rPr>
          <w:t>66</w:t>
        </w:r>
        <w:r>
          <w:rPr>
            <w:webHidden/>
          </w:rPr>
          <w:fldChar w:fldCharType="end"/>
        </w:r>
      </w:hyperlink>
    </w:p>
    <w:p w:rsidR="0038221D" w:rsidRDefault="0038221D">
      <w:pPr>
        <w:pStyle w:val="TOC1"/>
        <w:rPr>
          <w:rFonts w:asciiTheme="minorHAnsi" w:eastAsiaTheme="minorEastAsia" w:hAnsiTheme="minorHAnsi" w:cstheme="minorBidi"/>
          <w:b w:val="0"/>
          <w:color w:val="auto"/>
          <w:sz w:val="22"/>
          <w:lang w:eastAsia="en-AU"/>
        </w:rPr>
      </w:pPr>
      <w:hyperlink w:anchor="_Toc517270352" w:history="1">
        <w:r w:rsidRPr="005B1E0C">
          <w:rPr>
            <w:rStyle w:val="Hyperlink"/>
            <w:lang w:val="en-US"/>
          </w:rPr>
          <w:t>Appendix A</w:t>
        </w:r>
        <w:r>
          <w:rPr>
            <w:webHidden/>
          </w:rPr>
          <w:tab/>
        </w:r>
        <w:r>
          <w:rPr>
            <w:webHidden/>
          </w:rPr>
          <w:fldChar w:fldCharType="begin"/>
        </w:r>
        <w:r>
          <w:rPr>
            <w:webHidden/>
          </w:rPr>
          <w:instrText xml:space="preserve"> PAGEREF _Toc517270352 \h </w:instrText>
        </w:r>
        <w:r>
          <w:rPr>
            <w:webHidden/>
          </w:rPr>
        </w:r>
        <w:r>
          <w:rPr>
            <w:webHidden/>
          </w:rPr>
          <w:fldChar w:fldCharType="separate"/>
        </w:r>
        <w:r w:rsidR="0033032C">
          <w:rPr>
            <w:webHidden/>
          </w:rPr>
          <w:t>69</w:t>
        </w:r>
        <w:r>
          <w:rPr>
            <w:webHidden/>
          </w:rPr>
          <w:fldChar w:fldCharType="end"/>
        </w:r>
      </w:hyperlink>
    </w:p>
    <w:p w:rsidR="0038221D" w:rsidRDefault="0038221D">
      <w:pPr>
        <w:pStyle w:val="TOC1"/>
        <w:rPr>
          <w:rFonts w:asciiTheme="minorHAnsi" w:eastAsiaTheme="minorEastAsia" w:hAnsiTheme="minorHAnsi" w:cstheme="minorBidi"/>
          <w:b w:val="0"/>
          <w:color w:val="auto"/>
          <w:sz w:val="22"/>
          <w:lang w:eastAsia="en-AU"/>
        </w:rPr>
      </w:pPr>
      <w:hyperlink w:anchor="_Toc517270354" w:history="1">
        <w:r w:rsidRPr="005B1E0C">
          <w:rPr>
            <w:rStyle w:val="Hyperlink"/>
            <w:lang w:val="en-US"/>
          </w:rPr>
          <w:t>Appendix B</w:t>
        </w:r>
        <w:r>
          <w:rPr>
            <w:webHidden/>
          </w:rPr>
          <w:tab/>
        </w:r>
        <w:r>
          <w:rPr>
            <w:webHidden/>
          </w:rPr>
          <w:fldChar w:fldCharType="begin"/>
        </w:r>
        <w:r>
          <w:rPr>
            <w:webHidden/>
          </w:rPr>
          <w:instrText xml:space="preserve"> PAGEREF _Toc517270354 \h </w:instrText>
        </w:r>
        <w:r>
          <w:rPr>
            <w:webHidden/>
          </w:rPr>
        </w:r>
        <w:r>
          <w:rPr>
            <w:webHidden/>
          </w:rPr>
          <w:fldChar w:fldCharType="separate"/>
        </w:r>
        <w:r w:rsidR="0033032C">
          <w:rPr>
            <w:webHidden/>
          </w:rPr>
          <w:t>71</w:t>
        </w:r>
        <w:r>
          <w:rPr>
            <w:webHidden/>
          </w:rPr>
          <w:fldChar w:fldCharType="end"/>
        </w:r>
      </w:hyperlink>
    </w:p>
    <w:p w:rsidR="0038221D" w:rsidRPr="0038221D" w:rsidRDefault="0038221D" w:rsidP="0038221D">
      <w:pPr>
        <w:pStyle w:val="TOC1"/>
        <w:rPr>
          <w:rFonts w:asciiTheme="minorHAnsi" w:eastAsiaTheme="minorEastAsia" w:hAnsiTheme="minorHAnsi" w:cstheme="minorBidi"/>
          <w:b w:val="0"/>
          <w:color w:val="auto"/>
          <w:sz w:val="22"/>
          <w:lang w:eastAsia="en-AU"/>
        </w:rPr>
      </w:pPr>
      <w:hyperlink w:anchor="_Toc517270356" w:history="1">
        <w:r w:rsidRPr="005B1E0C">
          <w:rPr>
            <w:rStyle w:val="Hyperlink"/>
            <w:lang w:val="en-US"/>
          </w:rPr>
          <w:t>Appendix C</w:t>
        </w:r>
        <w:r>
          <w:rPr>
            <w:webHidden/>
          </w:rPr>
          <w:tab/>
        </w:r>
        <w:r>
          <w:rPr>
            <w:webHidden/>
          </w:rPr>
          <w:fldChar w:fldCharType="begin"/>
        </w:r>
        <w:r>
          <w:rPr>
            <w:webHidden/>
          </w:rPr>
          <w:instrText xml:space="preserve"> PAGEREF _Toc517270356 \h </w:instrText>
        </w:r>
        <w:r>
          <w:rPr>
            <w:webHidden/>
          </w:rPr>
        </w:r>
        <w:r>
          <w:rPr>
            <w:webHidden/>
          </w:rPr>
          <w:fldChar w:fldCharType="separate"/>
        </w:r>
        <w:r w:rsidR="0033032C">
          <w:rPr>
            <w:webHidden/>
          </w:rPr>
          <w:t>73</w:t>
        </w:r>
        <w:r>
          <w:rPr>
            <w:webHidden/>
          </w:rPr>
          <w:fldChar w:fldCharType="end"/>
        </w:r>
      </w:hyperlink>
      <w:r>
        <w:fldChar w:fldCharType="end"/>
      </w:r>
    </w:p>
    <w:p w:rsidR="0038221D" w:rsidRDefault="0038221D">
      <w:pPr>
        <w:spacing w:after="0"/>
        <w:rPr>
          <w:rFonts w:eastAsia="Times New Roman"/>
          <w:b/>
          <w:bCs/>
          <w:kern w:val="32"/>
          <w:sz w:val="40"/>
          <w:szCs w:val="32"/>
        </w:rPr>
      </w:pPr>
      <w:bookmarkStart w:id="1" w:name="_Toc517270315"/>
      <w:r>
        <w:br w:type="page"/>
      </w:r>
    </w:p>
    <w:p w:rsidR="00E82F18" w:rsidRDefault="00E82F18" w:rsidP="00E82F18">
      <w:pPr>
        <w:pStyle w:val="Heading1"/>
      </w:pPr>
      <w:r>
        <w:t>List of Tables</w:t>
      </w:r>
      <w:bookmarkEnd w:id="1"/>
    </w:p>
    <w:p w:rsidR="0038221D" w:rsidRPr="0038221D" w:rsidRDefault="0038221D">
      <w:pPr>
        <w:pStyle w:val="TOC1"/>
        <w:rPr>
          <w:rFonts w:asciiTheme="minorHAnsi" w:eastAsiaTheme="minorEastAsia" w:hAnsiTheme="minorHAnsi" w:cstheme="minorBidi"/>
          <w:b w:val="0"/>
          <w:color w:val="auto"/>
          <w:sz w:val="22"/>
          <w:lang w:eastAsia="en-AU"/>
        </w:rPr>
      </w:pPr>
      <w:r w:rsidRPr="0038221D">
        <w:rPr>
          <w:b w:val="0"/>
        </w:rPr>
        <w:fldChar w:fldCharType="begin"/>
      </w:r>
      <w:r w:rsidRPr="0038221D">
        <w:rPr>
          <w:b w:val="0"/>
        </w:rPr>
        <w:instrText xml:space="preserve"> TOC \h \z \t "Table Titles,1" </w:instrText>
      </w:r>
      <w:r w:rsidRPr="0038221D">
        <w:rPr>
          <w:b w:val="0"/>
        </w:rPr>
        <w:fldChar w:fldCharType="separate"/>
      </w:r>
      <w:hyperlink w:anchor="_Toc517270495" w:history="1">
        <w:r w:rsidRPr="0038221D">
          <w:rPr>
            <w:rStyle w:val="Hyperlink"/>
          </w:rPr>
          <w:t>Table 1:</w:t>
        </w:r>
        <w:r w:rsidRPr="0038221D">
          <w:rPr>
            <w:rStyle w:val="Hyperlink"/>
            <w:b w:val="0"/>
          </w:rPr>
          <w:t xml:space="preserve"> Proportion of respondents based on demographic subgroups</w:t>
        </w:r>
        <w:r w:rsidRPr="0038221D">
          <w:rPr>
            <w:b w:val="0"/>
            <w:webHidden/>
          </w:rPr>
          <w:tab/>
        </w:r>
        <w:r w:rsidRPr="0038221D">
          <w:rPr>
            <w:b w:val="0"/>
            <w:webHidden/>
          </w:rPr>
          <w:fldChar w:fldCharType="begin"/>
        </w:r>
        <w:r w:rsidRPr="0038221D">
          <w:rPr>
            <w:b w:val="0"/>
            <w:webHidden/>
          </w:rPr>
          <w:instrText xml:space="preserve"> PAGEREF _Toc517270495 \h </w:instrText>
        </w:r>
        <w:r w:rsidRPr="0038221D">
          <w:rPr>
            <w:b w:val="0"/>
            <w:webHidden/>
          </w:rPr>
        </w:r>
        <w:r w:rsidRPr="0038221D">
          <w:rPr>
            <w:b w:val="0"/>
            <w:webHidden/>
          </w:rPr>
          <w:fldChar w:fldCharType="separate"/>
        </w:r>
        <w:r w:rsidR="0033032C">
          <w:rPr>
            <w:b w:val="0"/>
            <w:webHidden/>
          </w:rPr>
          <w:t>19</w:t>
        </w:r>
        <w:r w:rsidRPr="0038221D">
          <w:rPr>
            <w:b w:val="0"/>
            <w:webHidden/>
          </w:rPr>
          <w:fldChar w:fldCharType="end"/>
        </w:r>
      </w:hyperlink>
    </w:p>
    <w:p w:rsidR="0038221D" w:rsidRPr="0038221D" w:rsidRDefault="0038221D">
      <w:pPr>
        <w:pStyle w:val="TOC1"/>
        <w:rPr>
          <w:rFonts w:asciiTheme="minorHAnsi" w:eastAsiaTheme="minorEastAsia" w:hAnsiTheme="minorHAnsi" w:cstheme="minorBidi"/>
          <w:b w:val="0"/>
          <w:color w:val="auto"/>
          <w:sz w:val="22"/>
          <w:lang w:eastAsia="en-AU"/>
        </w:rPr>
      </w:pPr>
      <w:hyperlink w:anchor="_Toc517270496" w:history="1">
        <w:r w:rsidRPr="0038221D">
          <w:rPr>
            <w:rStyle w:val="Hyperlink"/>
          </w:rPr>
          <w:t>Table 2:</w:t>
        </w:r>
        <w:r w:rsidRPr="0038221D">
          <w:rPr>
            <w:rStyle w:val="Hyperlink"/>
            <w:b w:val="0"/>
          </w:rPr>
          <w:t xml:space="preserve"> Proportion of participants based on course and study details</w:t>
        </w:r>
        <w:r w:rsidRPr="0038221D">
          <w:rPr>
            <w:b w:val="0"/>
            <w:webHidden/>
          </w:rPr>
          <w:tab/>
        </w:r>
        <w:r w:rsidRPr="0038221D">
          <w:rPr>
            <w:b w:val="0"/>
            <w:webHidden/>
          </w:rPr>
          <w:fldChar w:fldCharType="begin"/>
        </w:r>
        <w:r w:rsidRPr="0038221D">
          <w:rPr>
            <w:b w:val="0"/>
            <w:webHidden/>
          </w:rPr>
          <w:instrText xml:space="preserve"> PAGEREF _Toc517270496 \h </w:instrText>
        </w:r>
        <w:r w:rsidRPr="0038221D">
          <w:rPr>
            <w:b w:val="0"/>
            <w:webHidden/>
          </w:rPr>
        </w:r>
        <w:r w:rsidRPr="0038221D">
          <w:rPr>
            <w:b w:val="0"/>
            <w:webHidden/>
          </w:rPr>
          <w:fldChar w:fldCharType="separate"/>
        </w:r>
        <w:r w:rsidR="0033032C">
          <w:rPr>
            <w:b w:val="0"/>
            <w:webHidden/>
          </w:rPr>
          <w:t>20</w:t>
        </w:r>
        <w:r w:rsidRPr="0038221D">
          <w:rPr>
            <w:b w:val="0"/>
            <w:webHidden/>
          </w:rPr>
          <w:fldChar w:fldCharType="end"/>
        </w:r>
      </w:hyperlink>
    </w:p>
    <w:p w:rsidR="0038221D" w:rsidRPr="0038221D" w:rsidRDefault="0038221D">
      <w:pPr>
        <w:pStyle w:val="TOC1"/>
        <w:rPr>
          <w:rFonts w:asciiTheme="minorHAnsi" w:eastAsiaTheme="minorEastAsia" w:hAnsiTheme="minorHAnsi" w:cstheme="minorBidi"/>
          <w:b w:val="0"/>
          <w:color w:val="auto"/>
          <w:sz w:val="22"/>
          <w:lang w:eastAsia="en-AU"/>
        </w:rPr>
      </w:pPr>
      <w:hyperlink w:anchor="_Toc517270497" w:history="1">
        <w:r w:rsidRPr="0038221D">
          <w:rPr>
            <w:rStyle w:val="Hyperlink"/>
          </w:rPr>
          <w:t>Table 3:</w:t>
        </w:r>
        <w:r w:rsidRPr="0038221D">
          <w:rPr>
            <w:rStyle w:val="Hyperlink"/>
            <w:b w:val="0"/>
          </w:rPr>
          <w:t xml:space="preserve"> Proportion of respondents based on field of study</w:t>
        </w:r>
        <w:r w:rsidRPr="0038221D">
          <w:rPr>
            <w:b w:val="0"/>
            <w:webHidden/>
          </w:rPr>
          <w:tab/>
        </w:r>
        <w:r w:rsidRPr="0038221D">
          <w:rPr>
            <w:b w:val="0"/>
            <w:webHidden/>
          </w:rPr>
          <w:fldChar w:fldCharType="begin"/>
        </w:r>
        <w:r w:rsidRPr="0038221D">
          <w:rPr>
            <w:b w:val="0"/>
            <w:webHidden/>
          </w:rPr>
          <w:instrText xml:space="preserve"> PAGEREF _Toc517270497 \h </w:instrText>
        </w:r>
        <w:r w:rsidRPr="0038221D">
          <w:rPr>
            <w:b w:val="0"/>
            <w:webHidden/>
          </w:rPr>
        </w:r>
        <w:r w:rsidRPr="0038221D">
          <w:rPr>
            <w:b w:val="0"/>
            <w:webHidden/>
          </w:rPr>
          <w:fldChar w:fldCharType="separate"/>
        </w:r>
        <w:r w:rsidR="0033032C">
          <w:rPr>
            <w:b w:val="0"/>
            <w:webHidden/>
          </w:rPr>
          <w:t>21</w:t>
        </w:r>
        <w:r w:rsidRPr="0038221D">
          <w:rPr>
            <w:b w:val="0"/>
            <w:webHidden/>
          </w:rPr>
          <w:fldChar w:fldCharType="end"/>
        </w:r>
      </w:hyperlink>
    </w:p>
    <w:p w:rsidR="0038221D" w:rsidRPr="0038221D" w:rsidRDefault="0038221D">
      <w:pPr>
        <w:pStyle w:val="TOC1"/>
        <w:rPr>
          <w:rFonts w:asciiTheme="minorHAnsi" w:eastAsiaTheme="minorEastAsia" w:hAnsiTheme="minorHAnsi" w:cstheme="minorBidi"/>
          <w:b w:val="0"/>
          <w:color w:val="auto"/>
          <w:sz w:val="22"/>
          <w:lang w:eastAsia="en-AU"/>
        </w:rPr>
      </w:pPr>
      <w:hyperlink w:anchor="_Toc517270498" w:history="1">
        <w:r w:rsidRPr="0038221D">
          <w:rPr>
            <w:rStyle w:val="Hyperlink"/>
          </w:rPr>
          <w:t>Table 4:</w:t>
        </w:r>
        <w:r w:rsidRPr="0038221D">
          <w:rPr>
            <w:rStyle w:val="Hyperlink"/>
            <w:b w:val="0"/>
          </w:rPr>
          <w:t xml:space="preserve"> Weekly mean and median income sources ($) for all respondents</w:t>
        </w:r>
        <w:r w:rsidRPr="0038221D">
          <w:rPr>
            <w:b w:val="0"/>
            <w:webHidden/>
          </w:rPr>
          <w:tab/>
        </w:r>
        <w:r w:rsidRPr="0038221D">
          <w:rPr>
            <w:b w:val="0"/>
            <w:webHidden/>
          </w:rPr>
          <w:fldChar w:fldCharType="begin"/>
        </w:r>
        <w:r w:rsidRPr="0038221D">
          <w:rPr>
            <w:b w:val="0"/>
            <w:webHidden/>
          </w:rPr>
          <w:instrText xml:space="preserve"> PAGEREF _Toc517270498 \h </w:instrText>
        </w:r>
        <w:r w:rsidRPr="0038221D">
          <w:rPr>
            <w:b w:val="0"/>
            <w:webHidden/>
          </w:rPr>
        </w:r>
        <w:r w:rsidRPr="0038221D">
          <w:rPr>
            <w:b w:val="0"/>
            <w:webHidden/>
          </w:rPr>
          <w:fldChar w:fldCharType="separate"/>
        </w:r>
        <w:r w:rsidR="0033032C">
          <w:rPr>
            <w:b w:val="0"/>
            <w:webHidden/>
          </w:rPr>
          <w:t>23</w:t>
        </w:r>
        <w:r w:rsidRPr="0038221D">
          <w:rPr>
            <w:b w:val="0"/>
            <w:webHidden/>
          </w:rPr>
          <w:fldChar w:fldCharType="end"/>
        </w:r>
      </w:hyperlink>
    </w:p>
    <w:p w:rsidR="0038221D" w:rsidRPr="0038221D" w:rsidRDefault="0038221D">
      <w:pPr>
        <w:pStyle w:val="TOC1"/>
        <w:rPr>
          <w:rFonts w:asciiTheme="minorHAnsi" w:eastAsiaTheme="minorEastAsia" w:hAnsiTheme="minorHAnsi" w:cstheme="minorBidi"/>
          <w:b w:val="0"/>
          <w:color w:val="auto"/>
          <w:sz w:val="22"/>
          <w:lang w:eastAsia="en-AU"/>
        </w:rPr>
      </w:pPr>
      <w:hyperlink w:anchor="_Toc517270499" w:history="1">
        <w:r w:rsidRPr="0038221D">
          <w:rPr>
            <w:rStyle w:val="Hyperlink"/>
          </w:rPr>
          <w:t>Table 5:</w:t>
        </w:r>
        <w:r w:rsidRPr="0038221D">
          <w:rPr>
            <w:rStyle w:val="Hyperlink"/>
            <w:b w:val="0"/>
          </w:rPr>
          <w:t xml:space="preserve"> Proportion of students on government allowances</w:t>
        </w:r>
        <w:r w:rsidRPr="0038221D">
          <w:rPr>
            <w:b w:val="0"/>
            <w:webHidden/>
          </w:rPr>
          <w:tab/>
        </w:r>
        <w:r w:rsidRPr="0038221D">
          <w:rPr>
            <w:b w:val="0"/>
            <w:webHidden/>
          </w:rPr>
          <w:fldChar w:fldCharType="begin"/>
        </w:r>
        <w:r w:rsidRPr="0038221D">
          <w:rPr>
            <w:b w:val="0"/>
            <w:webHidden/>
          </w:rPr>
          <w:instrText xml:space="preserve"> PAGEREF _Toc517270499 \h </w:instrText>
        </w:r>
        <w:r w:rsidRPr="0038221D">
          <w:rPr>
            <w:b w:val="0"/>
            <w:webHidden/>
          </w:rPr>
        </w:r>
        <w:r w:rsidRPr="0038221D">
          <w:rPr>
            <w:b w:val="0"/>
            <w:webHidden/>
          </w:rPr>
          <w:fldChar w:fldCharType="separate"/>
        </w:r>
        <w:r w:rsidR="0033032C">
          <w:rPr>
            <w:b w:val="0"/>
            <w:webHidden/>
          </w:rPr>
          <w:t>26</w:t>
        </w:r>
        <w:r w:rsidRPr="0038221D">
          <w:rPr>
            <w:b w:val="0"/>
            <w:webHidden/>
          </w:rPr>
          <w:fldChar w:fldCharType="end"/>
        </w:r>
      </w:hyperlink>
    </w:p>
    <w:p w:rsidR="0038221D" w:rsidRPr="0038221D" w:rsidRDefault="0038221D">
      <w:pPr>
        <w:pStyle w:val="TOC1"/>
        <w:rPr>
          <w:rFonts w:asciiTheme="minorHAnsi" w:eastAsiaTheme="minorEastAsia" w:hAnsiTheme="minorHAnsi" w:cstheme="minorBidi"/>
          <w:b w:val="0"/>
          <w:color w:val="auto"/>
          <w:sz w:val="22"/>
          <w:lang w:eastAsia="en-AU"/>
        </w:rPr>
      </w:pPr>
      <w:hyperlink w:anchor="_Toc517270500" w:history="1">
        <w:r w:rsidRPr="0038221D">
          <w:rPr>
            <w:rStyle w:val="Hyperlink"/>
          </w:rPr>
          <w:t>Table 6:</w:t>
        </w:r>
        <w:r w:rsidRPr="0038221D">
          <w:rPr>
            <w:rStyle w:val="Hyperlink"/>
            <w:b w:val="0"/>
          </w:rPr>
          <w:t xml:space="preserve"> Weekly mean and median expenses ($) for all respondents</w:t>
        </w:r>
        <w:r w:rsidRPr="0038221D">
          <w:rPr>
            <w:b w:val="0"/>
            <w:webHidden/>
          </w:rPr>
          <w:tab/>
        </w:r>
        <w:r w:rsidRPr="0038221D">
          <w:rPr>
            <w:b w:val="0"/>
            <w:webHidden/>
          </w:rPr>
          <w:fldChar w:fldCharType="begin"/>
        </w:r>
        <w:r w:rsidRPr="0038221D">
          <w:rPr>
            <w:b w:val="0"/>
            <w:webHidden/>
          </w:rPr>
          <w:instrText xml:space="preserve"> PAGEREF _Toc517270500 \h </w:instrText>
        </w:r>
        <w:r w:rsidRPr="0038221D">
          <w:rPr>
            <w:b w:val="0"/>
            <w:webHidden/>
          </w:rPr>
        </w:r>
        <w:r w:rsidRPr="0038221D">
          <w:rPr>
            <w:b w:val="0"/>
            <w:webHidden/>
          </w:rPr>
          <w:fldChar w:fldCharType="separate"/>
        </w:r>
        <w:r w:rsidR="0033032C">
          <w:rPr>
            <w:b w:val="0"/>
            <w:webHidden/>
          </w:rPr>
          <w:t>34</w:t>
        </w:r>
        <w:r w:rsidRPr="0038221D">
          <w:rPr>
            <w:b w:val="0"/>
            <w:webHidden/>
          </w:rPr>
          <w:fldChar w:fldCharType="end"/>
        </w:r>
      </w:hyperlink>
    </w:p>
    <w:p w:rsidR="0038221D" w:rsidRPr="0038221D" w:rsidRDefault="0038221D">
      <w:pPr>
        <w:pStyle w:val="TOC1"/>
        <w:rPr>
          <w:rFonts w:asciiTheme="minorHAnsi" w:eastAsiaTheme="minorEastAsia" w:hAnsiTheme="minorHAnsi" w:cstheme="minorBidi"/>
          <w:b w:val="0"/>
          <w:color w:val="auto"/>
          <w:sz w:val="22"/>
          <w:lang w:eastAsia="en-AU"/>
        </w:rPr>
      </w:pPr>
      <w:hyperlink w:anchor="_Toc517270501" w:history="1">
        <w:r w:rsidRPr="0038221D">
          <w:rPr>
            <w:rStyle w:val="Hyperlink"/>
          </w:rPr>
          <w:t xml:space="preserve">Table 7: </w:t>
        </w:r>
        <w:r w:rsidRPr="0038221D">
          <w:rPr>
            <w:rStyle w:val="Hyperlink"/>
            <w:b w:val="0"/>
          </w:rPr>
          <w:t xml:space="preserve">Overall mean income and expenditure of receiving Youth </w:t>
        </w:r>
        <w:r>
          <w:rPr>
            <w:rStyle w:val="Hyperlink"/>
            <w:b w:val="0"/>
          </w:rPr>
          <w:br/>
          <w:t xml:space="preserve">      </w:t>
        </w:r>
        <w:r w:rsidRPr="0038221D">
          <w:rPr>
            <w:rStyle w:val="Hyperlink"/>
            <w:b w:val="0"/>
          </w:rPr>
          <w:t>Allowance per week ($)</w:t>
        </w:r>
        <w:r w:rsidRPr="0038221D">
          <w:rPr>
            <w:b w:val="0"/>
            <w:webHidden/>
          </w:rPr>
          <w:tab/>
        </w:r>
        <w:r w:rsidRPr="0038221D">
          <w:rPr>
            <w:b w:val="0"/>
            <w:webHidden/>
          </w:rPr>
          <w:fldChar w:fldCharType="begin"/>
        </w:r>
        <w:r w:rsidRPr="0038221D">
          <w:rPr>
            <w:b w:val="0"/>
            <w:webHidden/>
          </w:rPr>
          <w:instrText xml:space="preserve"> PAGEREF _Toc517270501 \h </w:instrText>
        </w:r>
        <w:r w:rsidRPr="0038221D">
          <w:rPr>
            <w:b w:val="0"/>
            <w:webHidden/>
          </w:rPr>
        </w:r>
        <w:r w:rsidRPr="0038221D">
          <w:rPr>
            <w:b w:val="0"/>
            <w:webHidden/>
          </w:rPr>
          <w:fldChar w:fldCharType="separate"/>
        </w:r>
        <w:r w:rsidR="0033032C">
          <w:rPr>
            <w:b w:val="0"/>
            <w:webHidden/>
          </w:rPr>
          <w:t>35</w:t>
        </w:r>
        <w:r w:rsidRPr="0038221D">
          <w:rPr>
            <w:b w:val="0"/>
            <w:webHidden/>
          </w:rPr>
          <w:fldChar w:fldCharType="end"/>
        </w:r>
      </w:hyperlink>
    </w:p>
    <w:p w:rsidR="0038221D" w:rsidRPr="0038221D" w:rsidRDefault="0038221D">
      <w:pPr>
        <w:pStyle w:val="TOC1"/>
        <w:rPr>
          <w:rFonts w:asciiTheme="minorHAnsi" w:eastAsiaTheme="minorEastAsia" w:hAnsiTheme="minorHAnsi" w:cstheme="minorBidi"/>
          <w:b w:val="0"/>
          <w:color w:val="auto"/>
          <w:sz w:val="22"/>
          <w:lang w:eastAsia="en-AU"/>
        </w:rPr>
      </w:pPr>
      <w:hyperlink w:anchor="_Toc517270502" w:history="1">
        <w:r w:rsidRPr="0038221D">
          <w:rPr>
            <w:rStyle w:val="Hyperlink"/>
          </w:rPr>
          <w:t xml:space="preserve">Table 8: </w:t>
        </w:r>
        <w:r w:rsidRPr="0038221D">
          <w:rPr>
            <w:rStyle w:val="Hyperlink"/>
            <w:b w:val="0"/>
          </w:rPr>
          <w:t>Semester study-related costs for all respondents</w:t>
        </w:r>
        <w:r w:rsidRPr="0038221D">
          <w:rPr>
            <w:b w:val="0"/>
            <w:webHidden/>
          </w:rPr>
          <w:tab/>
        </w:r>
        <w:r w:rsidRPr="0038221D">
          <w:rPr>
            <w:b w:val="0"/>
            <w:webHidden/>
          </w:rPr>
          <w:fldChar w:fldCharType="begin"/>
        </w:r>
        <w:r w:rsidRPr="0038221D">
          <w:rPr>
            <w:b w:val="0"/>
            <w:webHidden/>
          </w:rPr>
          <w:instrText xml:space="preserve"> PAGEREF _Toc517270502 \h </w:instrText>
        </w:r>
        <w:r w:rsidRPr="0038221D">
          <w:rPr>
            <w:b w:val="0"/>
            <w:webHidden/>
          </w:rPr>
        </w:r>
        <w:r w:rsidRPr="0038221D">
          <w:rPr>
            <w:b w:val="0"/>
            <w:webHidden/>
          </w:rPr>
          <w:fldChar w:fldCharType="separate"/>
        </w:r>
        <w:r w:rsidR="0033032C">
          <w:rPr>
            <w:b w:val="0"/>
            <w:webHidden/>
          </w:rPr>
          <w:t>36</w:t>
        </w:r>
        <w:r w:rsidRPr="0038221D">
          <w:rPr>
            <w:b w:val="0"/>
            <w:webHidden/>
          </w:rPr>
          <w:fldChar w:fldCharType="end"/>
        </w:r>
      </w:hyperlink>
    </w:p>
    <w:p w:rsidR="0038221D" w:rsidRPr="0038221D" w:rsidRDefault="0038221D">
      <w:pPr>
        <w:pStyle w:val="TOC1"/>
        <w:rPr>
          <w:rFonts w:asciiTheme="minorHAnsi" w:eastAsiaTheme="minorEastAsia" w:hAnsiTheme="minorHAnsi" w:cstheme="minorBidi"/>
          <w:b w:val="0"/>
          <w:color w:val="auto"/>
          <w:sz w:val="22"/>
          <w:lang w:eastAsia="en-AU"/>
        </w:rPr>
      </w:pPr>
      <w:hyperlink w:anchor="_Toc517270503" w:history="1">
        <w:r w:rsidRPr="0038221D">
          <w:rPr>
            <w:rStyle w:val="Hyperlink"/>
          </w:rPr>
          <w:t xml:space="preserve">Table 9: </w:t>
        </w:r>
        <w:r w:rsidRPr="0038221D">
          <w:rPr>
            <w:rStyle w:val="Hyperlink"/>
            <w:b w:val="0"/>
          </w:rPr>
          <w:t xml:space="preserve">Set up costs for commencing higher education – percentage of </w:t>
        </w:r>
        <w:r>
          <w:rPr>
            <w:rStyle w:val="Hyperlink"/>
            <w:b w:val="0"/>
          </w:rPr>
          <w:br/>
          <w:t xml:space="preserve">      </w:t>
        </w:r>
        <w:r w:rsidRPr="0038221D">
          <w:rPr>
            <w:rStyle w:val="Hyperlink"/>
            <w:b w:val="0"/>
          </w:rPr>
          <w:t>expenditure for students aged under 25</w:t>
        </w:r>
        <w:r w:rsidRPr="0038221D">
          <w:rPr>
            <w:b w:val="0"/>
            <w:webHidden/>
          </w:rPr>
          <w:tab/>
        </w:r>
        <w:r w:rsidRPr="0038221D">
          <w:rPr>
            <w:b w:val="0"/>
            <w:webHidden/>
          </w:rPr>
          <w:fldChar w:fldCharType="begin"/>
        </w:r>
        <w:r w:rsidRPr="0038221D">
          <w:rPr>
            <w:b w:val="0"/>
            <w:webHidden/>
          </w:rPr>
          <w:instrText xml:space="preserve"> PAGEREF _Toc517270503 \h </w:instrText>
        </w:r>
        <w:r w:rsidRPr="0038221D">
          <w:rPr>
            <w:b w:val="0"/>
            <w:webHidden/>
          </w:rPr>
        </w:r>
        <w:r w:rsidRPr="0038221D">
          <w:rPr>
            <w:b w:val="0"/>
            <w:webHidden/>
          </w:rPr>
          <w:fldChar w:fldCharType="separate"/>
        </w:r>
        <w:r w:rsidR="0033032C">
          <w:rPr>
            <w:b w:val="0"/>
            <w:webHidden/>
          </w:rPr>
          <w:t>39</w:t>
        </w:r>
        <w:r w:rsidRPr="0038221D">
          <w:rPr>
            <w:b w:val="0"/>
            <w:webHidden/>
          </w:rPr>
          <w:fldChar w:fldCharType="end"/>
        </w:r>
      </w:hyperlink>
    </w:p>
    <w:p w:rsidR="0038221D" w:rsidRPr="0038221D" w:rsidRDefault="0038221D">
      <w:pPr>
        <w:pStyle w:val="TOC1"/>
        <w:rPr>
          <w:rFonts w:asciiTheme="minorHAnsi" w:eastAsiaTheme="minorEastAsia" w:hAnsiTheme="minorHAnsi" w:cstheme="minorBidi"/>
          <w:b w:val="0"/>
          <w:color w:val="auto"/>
          <w:sz w:val="22"/>
          <w:lang w:eastAsia="en-AU"/>
        </w:rPr>
      </w:pPr>
      <w:hyperlink w:anchor="_Toc517270504" w:history="1">
        <w:r w:rsidRPr="0038221D">
          <w:rPr>
            <w:rStyle w:val="Hyperlink"/>
          </w:rPr>
          <w:t>Table 10:</w:t>
        </w:r>
        <w:r w:rsidRPr="0038221D">
          <w:rPr>
            <w:rStyle w:val="Hyperlink"/>
            <w:b w:val="0"/>
          </w:rPr>
          <w:t xml:space="preserve"> Set up costs for commencing higher education – percentage of </w:t>
        </w:r>
        <w:r>
          <w:rPr>
            <w:rStyle w:val="Hyperlink"/>
            <w:b w:val="0"/>
          </w:rPr>
          <w:br/>
          <w:t xml:space="preserve">      </w:t>
        </w:r>
        <w:r w:rsidRPr="0038221D">
          <w:rPr>
            <w:rStyle w:val="Hyperlink"/>
            <w:b w:val="0"/>
          </w:rPr>
          <w:t>expenditure for students aged 25 years and over</w:t>
        </w:r>
        <w:r w:rsidRPr="0038221D">
          <w:rPr>
            <w:b w:val="0"/>
            <w:webHidden/>
          </w:rPr>
          <w:tab/>
        </w:r>
        <w:r w:rsidRPr="0038221D">
          <w:rPr>
            <w:b w:val="0"/>
            <w:webHidden/>
          </w:rPr>
          <w:fldChar w:fldCharType="begin"/>
        </w:r>
        <w:r w:rsidRPr="0038221D">
          <w:rPr>
            <w:b w:val="0"/>
            <w:webHidden/>
          </w:rPr>
          <w:instrText xml:space="preserve"> PAGEREF _Toc517270504 \h </w:instrText>
        </w:r>
        <w:r w:rsidRPr="0038221D">
          <w:rPr>
            <w:b w:val="0"/>
            <w:webHidden/>
          </w:rPr>
        </w:r>
        <w:r w:rsidRPr="0038221D">
          <w:rPr>
            <w:b w:val="0"/>
            <w:webHidden/>
          </w:rPr>
          <w:fldChar w:fldCharType="separate"/>
        </w:r>
        <w:r w:rsidR="0033032C">
          <w:rPr>
            <w:b w:val="0"/>
            <w:webHidden/>
          </w:rPr>
          <w:t>39</w:t>
        </w:r>
        <w:r w:rsidRPr="0038221D">
          <w:rPr>
            <w:b w:val="0"/>
            <w:webHidden/>
          </w:rPr>
          <w:fldChar w:fldCharType="end"/>
        </w:r>
      </w:hyperlink>
    </w:p>
    <w:p w:rsidR="0038221D" w:rsidRPr="0038221D" w:rsidRDefault="0038221D">
      <w:pPr>
        <w:pStyle w:val="TOC1"/>
        <w:rPr>
          <w:rFonts w:asciiTheme="minorHAnsi" w:eastAsiaTheme="minorEastAsia" w:hAnsiTheme="minorHAnsi" w:cstheme="minorBidi"/>
          <w:b w:val="0"/>
          <w:color w:val="auto"/>
          <w:sz w:val="22"/>
          <w:lang w:eastAsia="en-AU"/>
        </w:rPr>
      </w:pPr>
      <w:hyperlink w:anchor="_Toc517270505" w:history="1">
        <w:r w:rsidRPr="0038221D">
          <w:rPr>
            <w:rStyle w:val="Hyperlink"/>
          </w:rPr>
          <w:t xml:space="preserve">Table 11: </w:t>
        </w:r>
        <w:r w:rsidRPr="0038221D">
          <w:rPr>
            <w:rStyle w:val="Hyperlink"/>
            <w:b w:val="0"/>
          </w:rPr>
          <w:t>Financial stress by age group and relocation status</w:t>
        </w:r>
        <w:r w:rsidRPr="0038221D">
          <w:rPr>
            <w:b w:val="0"/>
            <w:webHidden/>
          </w:rPr>
          <w:tab/>
        </w:r>
        <w:r w:rsidRPr="0038221D">
          <w:rPr>
            <w:b w:val="0"/>
            <w:webHidden/>
          </w:rPr>
          <w:fldChar w:fldCharType="begin"/>
        </w:r>
        <w:r w:rsidRPr="0038221D">
          <w:rPr>
            <w:b w:val="0"/>
            <w:webHidden/>
          </w:rPr>
          <w:instrText xml:space="preserve"> PAGEREF _Toc517270505 \h </w:instrText>
        </w:r>
        <w:r w:rsidRPr="0038221D">
          <w:rPr>
            <w:b w:val="0"/>
            <w:webHidden/>
          </w:rPr>
        </w:r>
        <w:r w:rsidRPr="0038221D">
          <w:rPr>
            <w:b w:val="0"/>
            <w:webHidden/>
          </w:rPr>
          <w:fldChar w:fldCharType="separate"/>
        </w:r>
        <w:r w:rsidR="0033032C">
          <w:rPr>
            <w:b w:val="0"/>
            <w:webHidden/>
          </w:rPr>
          <w:t>43</w:t>
        </w:r>
        <w:r w:rsidRPr="0038221D">
          <w:rPr>
            <w:b w:val="0"/>
            <w:webHidden/>
          </w:rPr>
          <w:fldChar w:fldCharType="end"/>
        </w:r>
      </w:hyperlink>
    </w:p>
    <w:p w:rsidR="0038221D" w:rsidRPr="0038221D" w:rsidRDefault="0038221D" w:rsidP="0038221D">
      <w:r w:rsidRPr="0038221D">
        <w:fldChar w:fldCharType="end"/>
      </w:r>
    </w:p>
    <w:p w:rsidR="0038221D" w:rsidRDefault="00E82F18" w:rsidP="00E82F18">
      <w:pPr>
        <w:pStyle w:val="Heading1"/>
      </w:pPr>
      <w:bookmarkStart w:id="2" w:name="_Toc517270316"/>
      <w:r>
        <w:t>List of Figures</w:t>
      </w:r>
      <w:bookmarkEnd w:id="2"/>
    </w:p>
    <w:p w:rsidR="0038221D" w:rsidRPr="0038221D" w:rsidRDefault="0038221D">
      <w:pPr>
        <w:pStyle w:val="TOC1"/>
        <w:rPr>
          <w:rFonts w:asciiTheme="minorHAnsi" w:eastAsiaTheme="minorEastAsia" w:hAnsiTheme="minorHAnsi" w:cstheme="minorBidi"/>
          <w:b w:val="0"/>
          <w:color w:val="auto"/>
          <w:sz w:val="22"/>
          <w:lang w:eastAsia="en-AU"/>
        </w:rPr>
      </w:pPr>
      <w:r w:rsidRPr="0038221D">
        <w:rPr>
          <w:b w:val="0"/>
        </w:rPr>
        <w:fldChar w:fldCharType="begin"/>
      </w:r>
      <w:r w:rsidRPr="0038221D">
        <w:rPr>
          <w:b w:val="0"/>
        </w:rPr>
        <w:instrText xml:space="preserve"> TOC \h \z \t "Figure Titles,1" </w:instrText>
      </w:r>
      <w:r w:rsidRPr="0038221D">
        <w:rPr>
          <w:b w:val="0"/>
        </w:rPr>
        <w:fldChar w:fldCharType="separate"/>
      </w:r>
      <w:hyperlink w:anchor="_Toc517270575" w:history="1">
        <w:r w:rsidRPr="0038221D">
          <w:rPr>
            <w:rStyle w:val="Hyperlink"/>
          </w:rPr>
          <w:t>Figure 1:</w:t>
        </w:r>
        <w:r w:rsidRPr="0038221D">
          <w:rPr>
            <w:rStyle w:val="Hyperlink"/>
            <w:b w:val="0"/>
          </w:rPr>
          <w:t xml:space="preserve"> Conceptual framework of factors impacting rural and regional students</w:t>
        </w:r>
        <w:r w:rsidRPr="0038221D">
          <w:rPr>
            <w:b w:val="0"/>
            <w:webHidden/>
          </w:rPr>
          <w:tab/>
        </w:r>
        <w:r w:rsidRPr="0038221D">
          <w:rPr>
            <w:b w:val="0"/>
            <w:webHidden/>
          </w:rPr>
          <w:fldChar w:fldCharType="begin"/>
        </w:r>
        <w:r w:rsidRPr="0038221D">
          <w:rPr>
            <w:b w:val="0"/>
            <w:webHidden/>
          </w:rPr>
          <w:instrText xml:space="preserve"> PAGEREF _Toc517270575 \h </w:instrText>
        </w:r>
        <w:r w:rsidRPr="0038221D">
          <w:rPr>
            <w:b w:val="0"/>
            <w:webHidden/>
          </w:rPr>
        </w:r>
        <w:r w:rsidRPr="0038221D">
          <w:rPr>
            <w:b w:val="0"/>
            <w:webHidden/>
          </w:rPr>
          <w:fldChar w:fldCharType="separate"/>
        </w:r>
        <w:r w:rsidR="0033032C">
          <w:rPr>
            <w:b w:val="0"/>
            <w:webHidden/>
          </w:rPr>
          <w:t>14</w:t>
        </w:r>
        <w:r w:rsidRPr="0038221D">
          <w:rPr>
            <w:b w:val="0"/>
            <w:webHidden/>
          </w:rPr>
          <w:fldChar w:fldCharType="end"/>
        </w:r>
      </w:hyperlink>
    </w:p>
    <w:p w:rsidR="0038221D" w:rsidRPr="0038221D" w:rsidRDefault="0038221D">
      <w:pPr>
        <w:pStyle w:val="TOC1"/>
        <w:rPr>
          <w:rFonts w:asciiTheme="minorHAnsi" w:eastAsiaTheme="minorEastAsia" w:hAnsiTheme="minorHAnsi" w:cstheme="minorBidi"/>
          <w:b w:val="0"/>
          <w:color w:val="auto"/>
          <w:sz w:val="22"/>
          <w:lang w:eastAsia="en-AU"/>
        </w:rPr>
      </w:pPr>
      <w:hyperlink w:anchor="_Toc517270576" w:history="1">
        <w:r w:rsidRPr="0038221D">
          <w:rPr>
            <w:rStyle w:val="Hyperlink"/>
          </w:rPr>
          <w:t>Figure 2:</w:t>
        </w:r>
        <w:r w:rsidRPr="0038221D">
          <w:rPr>
            <w:rStyle w:val="Hyperlink"/>
            <w:b w:val="0"/>
          </w:rPr>
          <w:t xml:space="preserve"> ASGS rural classifications of South Australia</w:t>
        </w:r>
        <w:r w:rsidRPr="0038221D">
          <w:rPr>
            <w:b w:val="0"/>
            <w:webHidden/>
          </w:rPr>
          <w:tab/>
        </w:r>
        <w:r w:rsidRPr="0038221D">
          <w:rPr>
            <w:b w:val="0"/>
            <w:webHidden/>
          </w:rPr>
          <w:fldChar w:fldCharType="begin"/>
        </w:r>
        <w:r w:rsidRPr="0038221D">
          <w:rPr>
            <w:b w:val="0"/>
            <w:webHidden/>
          </w:rPr>
          <w:instrText xml:space="preserve"> PAGEREF _Toc517270576 \h </w:instrText>
        </w:r>
        <w:r w:rsidRPr="0038221D">
          <w:rPr>
            <w:b w:val="0"/>
            <w:webHidden/>
          </w:rPr>
        </w:r>
        <w:r w:rsidRPr="0038221D">
          <w:rPr>
            <w:b w:val="0"/>
            <w:webHidden/>
          </w:rPr>
          <w:fldChar w:fldCharType="separate"/>
        </w:r>
        <w:r w:rsidR="0033032C">
          <w:rPr>
            <w:b w:val="0"/>
            <w:webHidden/>
          </w:rPr>
          <w:t>17</w:t>
        </w:r>
        <w:r w:rsidRPr="0038221D">
          <w:rPr>
            <w:b w:val="0"/>
            <w:webHidden/>
          </w:rPr>
          <w:fldChar w:fldCharType="end"/>
        </w:r>
      </w:hyperlink>
    </w:p>
    <w:p w:rsidR="0038221D" w:rsidRPr="0038221D" w:rsidRDefault="0038221D">
      <w:pPr>
        <w:pStyle w:val="TOC1"/>
        <w:rPr>
          <w:rFonts w:asciiTheme="minorHAnsi" w:eastAsiaTheme="minorEastAsia" w:hAnsiTheme="minorHAnsi" w:cstheme="minorBidi"/>
          <w:b w:val="0"/>
          <w:color w:val="auto"/>
          <w:sz w:val="22"/>
          <w:lang w:eastAsia="en-AU"/>
        </w:rPr>
      </w:pPr>
      <w:hyperlink w:anchor="_Toc517270577" w:history="1">
        <w:r w:rsidRPr="0038221D">
          <w:rPr>
            <w:rStyle w:val="Hyperlink"/>
          </w:rPr>
          <w:t>Figure 3:</w:t>
        </w:r>
        <w:r w:rsidRPr="0038221D">
          <w:rPr>
            <w:rStyle w:val="Hyperlink"/>
            <w:b w:val="0"/>
          </w:rPr>
          <w:t xml:space="preserve"> Reasons for not receiving government allowances for students aged </w:t>
        </w:r>
        <w:r>
          <w:rPr>
            <w:rStyle w:val="Hyperlink"/>
            <w:b w:val="0"/>
          </w:rPr>
          <w:br/>
          <w:t xml:space="preserve">      </w:t>
        </w:r>
        <w:r w:rsidRPr="0038221D">
          <w:rPr>
            <w:rStyle w:val="Hyperlink"/>
            <w:b w:val="0"/>
          </w:rPr>
          <w:t>under 25 years</w:t>
        </w:r>
        <w:r w:rsidRPr="0038221D">
          <w:rPr>
            <w:b w:val="0"/>
            <w:webHidden/>
          </w:rPr>
          <w:tab/>
        </w:r>
        <w:r w:rsidRPr="0038221D">
          <w:rPr>
            <w:b w:val="0"/>
            <w:webHidden/>
          </w:rPr>
          <w:fldChar w:fldCharType="begin"/>
        </w:r>
        <w:r w:rsidRPr="0038221D">
          <w:rPr>
            <w:b w:val="0"/>
            <w:webHidden/>
          </w:rPr>
          <w:instrText xml:space="preserve"> PAGEREF _Toc517270577 \h </w:instrText>
        </w:r>
        <w:r w:rsidRPr="0038221D">
          <w:rPr>
            <w:b w:val="0"/>
            <w:webHidden/>
          </w:rPr>
        </w:r>
        <w:r w:rsidRPr="0038221D">
          <w:rPr>
            <w:b w:val="0"/>
            <w:webHidden/>
          </w:rPr>
          <w:fldChar w:fldCharType="separate"/>
        </w:r>
        <w:r w:rsidR="0033032C">
          <w:rPr>
            <w:b w:val="0"/>
            <w:webHidden/>
          </w:rPr>
          <w:t>26</w:t>
        </w:r>
        <w:r w:rsidRPr="0038221D">
          <w:rPr>
            <w:b w:val="0"/>
            <w:webHidden/>
          </w:rPr>
          <w:fldChar w:fldCharType="end"/>
        </w:r>
      </w:hyperlink>
    </w:p>
    <w:p w:rsidR="0038221D" w:rsidRPr="0038221D" w:rsidRDefault="0038221D">
      <w:pPr>
        <w:pStyle w:val="TOC1"/>
        <w:rPr>
          <w:rFonts w:asciiTheme="minorHAnsi" w:eastAsiaTheme="minorEastAsia" w:hAnsiTheme="minorHAnsi" w:cstheme="minorBidi"/>
          <w:b w:val="0"/>
          <w:color w:val="auto"/>
          <w:sz w:val="22"/>
          <w:lang w:eastAsia="en-AU"/>
        </w:rPr>
      </w:pPr>
      <w:hyperlink w:anchor="_Toc517270578" w:history="1">
        <w:r w:rsidRPr="0038221D">
          <w:rPr>
            <w:rStyle w:val="Hyperlink"/>
          </w:rPr>
          <w:t>Figure 4:</w:t>
        </w:r>
        <w:r w:rsidRPr="0038221D">
          <w:rPr>
            <w:rStyle w:val="Hyperlink"/>
            <w:b w:val="0"/>
          </w:rPr>
          <w:t xml:space="preserve"> Reasons for not receiving government allowances for students aged </w:t>
        </w:r>
        <w:r>
          <w:rPr>
            <w:rStyle w:val="Hyperlink"/>
            <w:b w:val="0"/>
          </w:rPr>
          <w:br/>
          <w:t xml:space="preserve">      </w:t>
        </w:r>
        <w:r w:rsidRPr="0038221D">
          <w:rPr>
            <w:rStyle w:val="Hyperlink"/>
            <w:b w:val="0"/>
          </w:rPr>
          <w:t>25 years and over</w:t>
        </w:r>
        <w:r w:rsidRPr="0038221D">
          <w:rPr>
            <w:b w:val="0"/>
            <w:webHidden/>
          </w:rPr>
          <w:tab/>
        </w:r>
        <w:r w:rsidRPr="0038221D">
          <w:rPr>
            <w:b w:val="0"/>
            <w:webHidden/>
          </w:rPr>
          <w:fldChar w:fldCharType="begin"/>
        </w:r>
        <w:r w:rsidRPr="0038221D">
          <w:rPr>
            <w:b w:val="0"/>
            <w:webHidden/>
          </w:rPr>
          <w:instrText xml:space="preserve"> PAGEREF _Toc517270578 \h </w:instrText>
        </w:r>
        <w:r w:rsidRPr="0038221D">
          <w:rPr>
            <w:b w:val="0"/>
            <w:webHidden/>
          </w:rPr>
        </w:r>
        <w:r w:rsidRPr="0038221D">
          <w:rPr>
            <w:b w:val="0"/>
            <w:webHidden/>
          </w:rPr>
          <w:fldChar w:fldCharType="separate"/>
        </w:r>
        <w:r w:rsidR="0033032C">
          <w:rPr>
            <w:b w:val="0"/>
            <w:webHidden/>
          </w:rPr>
          <w:t>27</w:t>
        </w:r>
        <w:r w:rsidRPr="0038221D">
          <w:rPr>
            <w:b w:val="0"/>
            <w:webHidden/>
          </w:rPr>
          <w:fldChar w:fldCharType="end"/>
        </w:r>
      </w:hyperlink>
    </w:p>
    <w:p w:rsidR="0038221D" w:rsidRPr="0038221D" w:rsidRDefault="0038221D">
      <w:pPr>
        <w:pStyle w:val="TOC1"/>
        <w:rPr>
          <w:rFonts w:asciiTheme="minorHAnsi" w:eastAsiaTheme="minorEastAsia" w:hAnsiTheme="minorHAnsi" w:cstheme="minorBidi"/>
          <w:b w:val="0"/>
          <w:color w:val="auto"/>
          <w:sz w:val="22"/>
          <w:lang w:eastAsia="en-AU"/>
        </w:rPr>
      </w:pPr>
      <w:hyperlink w:anchor="_Toc517270579" w:history="1">
        <w:r w:rsidRPr="0038221D">
          <w:rPr>
            <w:rStyle w:val="Hyperlink"/>
          </w:rPr>
          <w:t>Figure 5:</w:t>
        </w:r>
        <w:r w:rsidRPr="0038221D">
          <w:rPr>
            <w:rStyle w:val="Hyperlink"/>
            <w:b w:val="0"/>
          </w:rPr>
          <w:t xml:space="preserve"> Percentage of students aged under 25 receiving additional </w:t>
        </w:r>
        <w:r>
          <w:rPr>
            <w:rStyle w:val="Hyperlink"/>
            <w:b w:val="0"/>
          </w:rPr>
          <w:br/>
          <w:t xml:space="preserve">      </w:t>
        </w:r>
        <w:r w:rsidRPr="0038221D">
          <w:rPr>
            <w:rStyle w:val="Hyperlink"/>
            <w:b w:val="0"/>
          </w:rPr>
          <w:t>government allowances</w:t>
        </w:r>
        <w:r w:rsidRPr="0038221D">
          <w:rPr>
            <w:b w:val="0"/>
            <w:webHidden/>
          </w:rPr>
          <w:tab/>
        </w:r>
        <w:r w:rsidRPr="0038221D">
          <w:rPr>
            <w:b w:val="0"/>
            <w:webHidden/>
          </w:rPr>
          <w:fldChar w:fldCharType="begin"/>
        </w:r>
        <w:r w:rsidRPr="0038221D">
          <w:rPr>
            <w:b w:val="0"/>
            <w:webHidden/>
          </w:rPr>
          <w:instrText xml:space="preserve"> PAGEREF _Toc517270579 \h </w:instrText>
        </w:r>
        <w:r w:rsidRPr="0038221D">
          <w:rPr>
            <w:b w:val="0"/>
            <w:webHidden/>
          </w:rPr>
        </w:r>
        <w:r w:rsidRPr="0038221D">
          <w:rPr>
            <w:b w:val="0"/>
            <w:webHidden/>
          </w:rPr>
          <w:fldChar w:fldCharType="separate"/>
        </w:r>
        <w:r w:rsidR="0033032C">
          <w:rPr>
            <w:b w:val="0"/>
            <w:webHidden/>
          </w:rPr>
          <w:t>28</w:t>
        </w:r>
        <w:r w:rsidRPr="0038221D">
          <w:rPr>
            <w:b w:val="0"/>
            <w:webHidden/>
          </w:rPr>
          <w:fldChar w:fldCharType="end"/>
        </w:r>
      </w:hyperlink>
    </w:p>
    <w:p w:rsidR="0038221D" w:rsidRPr="0038221D" w:rsidRDefault="0038221D">
      <w:pPr>
        <w:pStyle w:val="TOC1"/>
        <w:rPr>
          <w:rFonts w:asciiTheme="minorHAnsi" w:eastAsiaTheme="minorEastAsia" w:hAnsiTheme="minorHAnsi" w:cstheme="minorBidi"/>
          <w:b w:val="0"/>
          <w:color w:val="auto"/>
          <w:sz w:val="22"/>
          <w:lang w:eastAsia="en-AU"/>
        </w:rPr>
      </w:pPr>
      <w:hyperlink w:anchor="_Toc517270580" w:history="1">
        <w:r w:rsidRPr="0038221D">
          <w:rPr>
            <w:rStyle w:val="Hyperlink"/>
          </w:rPr>
          <w:t>Figure 6:</w:t>
        </w:r>
        <w:r w:rsidRPr="0038221D">
          <w:rPr>
            <w:rStyle w:val="Hyperlink"/>
            <w:b w:val="0"/>
          </w:rPr>
          <w:t xml:space="preserve"> Percentage of students aged 25 and over receiving additional </w:t>
        </w:r>
        <w:r>
          <w:rPr>
            <w:rStyle w:val="Hyperlink"/>
            <w:b w:val="0"/>
          </w:rPr>
          <w:br/>
          <w:t xml:space="preserve">      </w:t>
        </w:r>
        <w:r w:rsidRPr="0038221D">
          <w:rPr>
            <w:rStyle w:val="Hyperlink"/>
            <w:b w:val="0"/>
          </w:rPr>
          <w:t>government allowances</w:t>
        </w:r>
        <w:r w:rsidRPr="0038221D">
          <w:rPr>
            <w:b w:val="0"/>
            <w:webHidden/>
          </w:rPr>
          <w:tab/>
        </w:r>
        <w:r w:rsidRPr="0038221D">
          <w:rPr>
            <w:b w:val="0"/>
            <w:webHidden/>
          </w:rPr>
          <w:fldChar w:fldCharType="begin"/>
        </w:r>
        <w:r w:rsidRPr="0038221D">
          <w:rPr>
            <w:b w:val="0"/>
            <w:webHidden/>
          </w:rPr>
          <w:instrText xml:space="preserve"> PAGEREF _Toc517270580 \h </w:instrText>
        </w:r>
        <w:r w:rsidRPr="0038221D">
          <w:rPr>
            <w:b w:val="0"/>
            <w:webHidden/>
          </w:rPr>
        </w:r>
        <w:r w:rsidRPr="0038221D">
          <w:rPr>
            <w:b w:val="0"/>
            <w:webHidden/>
          </w:rPr>
          <w:fldChar w:fldCharType="separate"/>
        </w:r>
        <w:r w:rsidR="0033032C">
          <w:rPr>
            <w:b w:val="0"/>
            <w:webHidden/>
          </w:rPr>
          <w:t>28</w:t>
        </w:r>
        <w:r w:rsidRPr="0038221D">
          <w:rPr>
            <w:b w:val="0"/>
            <w:webHidden/>
          </w:rPr>
          <w:fldChar w:fldCharType="end"/>
        </w:r>
      </w:hyperlink>
    </w:p>
    <w:p w:rsidR="0038221D" w:rsidRPr="0038221D" w:rsidRDefault="0038221D">
      <w:pPr>
        <w:pStyle w:val="TOC1"/>
        <w:rPr>
          <w:rFonts w:asciiTheme="minorHAnsi" w:eastAsiaTheme="minorEastAsia" w:hAnsiTheme="minorHAnsi" w:cstheme="minorBidi"/>
          <w:b w:val="0"/>
          <w:color w:val="auto"/>
          <w:sz w:val="22"/>
          <w:lang w:eastAsia="en-AU"/>
        </w:rPr>
      </w:pPr>
      <w:hyperlink w:anchor="_Toc517270581" w:history="1">
        <w:r w:rsidRPr="0038221D">
          <w:rPr>
            <w:rStyle w:val="Hyperlink"/>
          </w:rPr>
          <w:t>Figure 7:</w:t>
        </w:r>
        <w:r w:rsidRPr="0038221D">
          <w:rPr>
            <w:rStyle w:val="Hyperlink"/>
            <w:b w:val="0"/>
          </w:rPr>
          <w:t xml:space="preserve"> Study/work patterns of students aged under 25</w:t>
        </w:r>
        <w:r w:rsidRPr="0038221D">
          <w:rPr>
            <w:b w:val="0"/>
            <w:webHidden/>
          </w:rPr>
          <w:tab/>
        </w:r>
        <w:r w:rsidRPr="0038221D">
          <w:rPr>
            <w:b w:val="0"/>
            <w:webHidden/>
          </w:rPr>
          <w:fldChar w:fldCharType="begin"/>
        </w:r>
        <w:r w:rsidRPr="0038221D">
          <w:rPr>
            <w:b w:val="0"/>
            <w:webHidden/>
          </w:rPr>
          <w:instrText xml:space="preserve"> PAGEREF _Toc517270581 \h </w:instrText>
        </w:r>
        <w:r w:rsidRPr="0038221D">
          <w:rPr>
            <w:b w:val="0"/>
            <w:webHidden/>
          </w:rPr>
        </w:r>
        <w:r w:rsidRPr="0038221D">
          <w:rPr>
            <w:b w:val="0"/>
            <w:webHidden/>
          </w:rPr>
          <w:fldChar w:fldCharType="separate"/>
        </w:r>
        <w:r w:rsidR="0033032C">
          <w:rPr>
            <w:b w:val="0"/>
            <w:webHidden/>
          </w:rPr>
          <w:t>29</w:t>
        </w:r>
        <w:r w:rsidRPr="0038221D">
          <w:rPr>
            <w:b w:val="0"/>
            <w:webHidden/>
          </w:rPr>
          <w:fldChar w:fldCharType="end"/>
        </w:r>
      </w:hyperlink>
    </w:p>
    <w:p w:rsidR="0038221D" w:rsidRPr="0038221D" w:rsidRDefault="0038221D">
      <w:pPr>
        <w:pStyle w:val="TOC1"/>
        <w:rPr>
          <w:rFonts w:asciiTheme="minorHAnsi" w:eastAsiaTheme="minorEastAsia" w:hAnsiTheme="minorHAnsi" w:cstheme="minorBidi"/>
          <w:b w:val="0"/>
          <w:color w:val="auto"/>
          <w:sz w:val="22"/>
          <w:lang w:eastAsia="en-AU"/>
        </w:rPr>
      </w:pPr>
      <w:hyperlink w:anchor="_Toc517270582" w:history="1">
        <w:r w:rsidRPr="0038221D">
          <w:rPr>
            <w:rStyle w:val="Hyperlink"/>
          </w:rPr>
          <w:t>Figure 8:</w:t>
        </w:r>
        <w:r w:rsidRPr="0038221D">
          <w:rPr>
            <w:rStyle w:val="Hyperlink"/>
            <w:b w:val="0"/>
          </w:rPr>
          <w:t xml:space="preserve"> Study/work patterns of students aged 25 and over</w:t>
        </w:r>
        <w:r w:rsidRPr="0038221D">
          <w:rPr>
            <w:b w:val="0"/>
            <w:webHidden/>
          </w:rPr>
          <w:tab/>
        </w:r>
        <w:r w:rsidRPr="0038221D">
          <w:rPr>
            <w:b w:val="0"/>
            <w:webHidden/>
          </w:rPr>
          <w:fldChar w:fldCharType="begin"/>
        </w:r>
        <w:r w:rsidRPr="0038221D">
          <w:rPr>
            <w:b w:val="0"/>
            <w:webHidden/>
          </w:rPr>
          <w:instrText xml:space="preserve"> PAGEREF _Toc517270582 \h </w:instrText>
        </w:r>
        <w:r w:rsidRPr="0038221D">
          <w:rPr>
            <w:b w:val="0"/>
            <w:webHidden/>
          </w:rPr>
        </w:r>
        <w:r w:rsidRPr="0038221D">
          <w:rPr>
            <w:b w:val="0"/>
            <w:webHidden/>
          </w:rPr>
          <w:fldChar w:fldCharType="separate"/>
        </w:r>
        <w:r w:rsidR="0033032C">
          <w:rPr>
            <w:b w:val="0"/>
            <w:webHidden/>
          </w:rPr>
          <w:t>31</w:t>
        </w:r>
        <w:r w:rsidRPr="0038221D">
          <w:rPr>
            <w:b w:val="0"/>
            <w:webHidden/>
          </w:rPr>
          <w:fldChar w:fldCharType="end"/>
        </w:r>
      </w:hyperlink>
    </w:p>
    <w:p w:rsidR="0038221D" w:rsidRPr="0038221D" w:rsidRDefault="0038221D">
      <w:pPr>
        <w:pStyle w:val="TOC1"/>
        <w:rPr>
          <w:rFonts w:asciiTheme="minorHAnsi" w:eastAsiaTheme="minorEastAsia" w:hAnsiTheme="minorHAnsi" w:cstheme="minorBidi"/>
          <w:b w:val="0"/>
          <w:color w:val="auto"/>
          <w:sz w:val="22"/>
          <w:lang w:eastAsia="en-AU"/>
        </w:rPr>
      </w:pPr>
      <w:hyperlink w:anchor="_Toc517270583" w:history="1">
        <w:r w:rsidRPr="0038221D">
          <w:rPr>
            <w:rStyle w:val="Hyperlink"/>
          </w:rPr>
          <w:t>Figure 9:</w:t>
        </w:r>
        <w:r w:rsidRPr="0038221D">
          <w:rPr>
            <w:rStyle w:val="Hyperlink"/>
            <w:b w:val="0"/>
          </w:rPr>
          <w:t xml:space="preserve"> Types of scholarships received by students aged under 25</w:t>
        </w:r>
        <w:r w:rsidRPr="0038221D">
          <w:rPr>
            <w:b w:val="0"/>
            <w:webHidden/>
          </w:rPr>
          <w:tab/>
        </w:r>
        <w:r w:rsidRPr="0038221D">
          <w:rPr>
            <w:b w:val="0"/>
            <w:webHidden/>
          </w:rPr>
          <w:fldChar w:fldCharType="begin"/>
        </w:r>
        <w:r w:rsidRPr="0038221D">
          <w:rPr>
            <w:b w:val="0"/>
            <w:webHidden/>
          </w:rPr>
          <w:instrText xml:space="preserve"> PAGEREF _Toc517270583 \h </w:instrText>
        </w:r>
        <w:r w:rsidRPr="0038221D">
          <w:rPr>
            <w:b w:val="0"/>
            <w:webHidden/>
          </w:rPr>
        </w:r>
        <w:r w:rsidRPr="0038221D">
          <w:rPr>
            <w:b w:val="0"/>
            <w:webHidden/>
          </w:rPr>
          <w:fldChar w:fldCharType="separate"/>
        </w:r>
        <w:r w:rsidR="0033032C">
          <w:rPr>
            <w:b w:val="0"/>
            <w:webHidden/>
          </w:rPr>
          <w:t>32</w:t>
        </w:r>
        <w:r w:rsidRPr="0038221D">
          <w:rPr>
            <w:b w:val="0"/>
            <w:webHidden/>
          </w:rPr>
          <w:fldChar w:fldCharType="end"/>
        </w:r>
      </w:hyperlink>
    </w:p>
    <w:p w:rsidR="0038221D" w:rsidRPr="0038221D" w:rsidRDefault="0038221D">
      <w:pPr>
        <w:pStyle w:val="TOC1"/>
        <w:rPr>
          <w:rFonts w:asciiTheme="minorHAnsi" w:eastAsiaTheme="minorEastAsia" w:hAnsiTheme="minorHAnsi" w:cstheme="minorBidi"/>
          <w:b w:val="0"/>
          <w:color w:val="auto"/>
          <w:sz w:val="22"/>
          <w:lang w:eastAsia="en-AU"/>
        </w:rPr>
      </w:pPr>
      <w:hyperlink w:anchor="_Toc517270584" w:history="1">
        <w:r w:rsidRPr="0038221D">
          <w:rPr>
            <w:rStyle w:val="Hyperlink"/>
          </w:rPr>
          <w:t>Figure 10:</w:t>
        </w:r>
        <w:r w:rsidRPr="0038221D">
          <w:rPr>
            <w:rStyle w:val="Hyperlink"/>
            <w:b w:val="0"/>
          </w:rPr>
          <w:t xml:space="preserve"> Types of scholarships received by students aged 25 years and over</w:t>
        </w:r>
        <w:r w:rsidRPr="0038221D">
          <w:rPr>
            <w:b w:val="0"/>
            <w:webHidden/>
          </w:rPr>
          <w:tab/>
        </w:r>
        <w:r w:rsidRPr="0038221D">
          <w:rPr>
            <w:b w:val="0"/>
            <w:webHidden/>
          </w:rPr>
          <w:fldChar w:fldCharType="begin"/>
        </w:r>
        <w:r w:rsidRPr="0038221D">
          <w:rPr>
            <w:b w:val="0"/>
            <w:webHidden/>
          </w:rPr>
          <w:instrText xml:space="preserve"> PAGEREF _Toc517270584 \h </w:instrText>
        </w:r>
        <w:r w:rsidRPr="0038221D">
          <w:rPr>
            <w:b w:val="0"/>
            <w:webHidden/>
          </w:rPr>
        </w:r>
        <w:r w:rsidRPr="0038221D">
          <w:rPr>
            <w:b w:val="0"/>
            <w:webHidden/>
          </w:rPr>
          <w:fldChar w:fldCharType="separate"/>
        </w:r>
        <w:r w:rsidR="0033032C">
          <w:rPr>
            <w:b w:val="0"/>
            <w:webHidden/>
          </w:rPr>
          <w:t>33</w:t>
        </w:r>
        <w:r w:rsidRPr="0038221D">
          <w:rPr>
            <w:b w:val="0"/>
            <w:webHidden/>
          </w:rPr>
          <w:fldChar w:fldCharType="end"/>
        </w:r>
      </w:hyperlink>
    </w:p>
    <w:p w:rsidR="0038221D" w:rsidRPr="0038221D" w:rsidRDefault="0038221D">
      <w:pPr>
        <w:pStyle w:val="TOC1"/>
        <w:rPr>
          <w:rFonts w:asciiTheme="minorHAnsi" w:eastAsiaTheme="minorEastAsia" w:hAnsiTheme="minorHAnsi" w:cstheme="minorBidi"/>
          <w:b w:val="0"/>
          <w:color w:val="auto"/>
          <w:sz w:val="22"/>
          <w:lang w:eastAsia="en-AU"/>
        </w:rPr>
      </w:pPr>
      <w:hyperlink w:anchor="_Toc517270585" w:history="1">
        <w:r w:rsidRPr="0038221D">
          <w:rPr>
            <w:rStyle w:val="Hyperlink"/>
          </w:rPr>
          <w:t xml:space="preserve">Figure 11: </w:t>
        </w:r>
        <w:r w:rsidRPr="0038221D">
          <w:rPr>
            <w:rStyle w:val="Hyperlink"/>
            <w:b w:val="0"/>
          </w:rPr>
          <w:t>Current living arrangements of students aged under 25 years</w:t>
        </w:r>
        <w:r w:rsidRPr="0038221D">
          <w:rPr>
            <w:b w:val="0"/>
            <w:webHidden/>
          </w:rPr>
          <w:tab/>
        </w:r>
        <w:r w:rsidRPr="0038221D">
          <w:rPr>
            <w:b w:val="0"/>
            <w:webHidden/>
          </w:rPr>
          <w:fldChar w:fldCharType="begin"/>
        </w:r>
        <w:r w:rsidRPr="0038221D">
          <w:rPr>
            <w:b w:val="0"/>
            <w:webHidden/>
          </w:rPr>
          <w:instrText xml:space="preserve"> PAGEREF _Toc517270585 \h </w:instrText>
        </w:r>
        <w:r w:rsidRPr="0038221D">
          <w:rPr>
            <w:b w:val="0"/>
            <w:webHidden/>
          </w:rPr>
        </w:r>
        <w:r w:rsidRPr="0038221D">
          <w:rPr>
            <w:b w:val="0"/>
            <w:webHidden/>
          </w:rPr>
          <w:fldChar w:fldCharType="separate"/>
        </w:r>
        <w:r w:rsidR="0033032C">
          <w:rPr>
            <w:b w:val="0"/>
            <w:webHidden/>
          </w:rPr>
          <w:t>37</w:t>
        </w:r>
        <w:r w:rsidRPr="0038221D">
          <w:rPr>
            <w:b w:val="0"/>
            <w:webHidden/>
          </w:rPr>
          <w:fldChar w:fldCharType="end"/>
        </w:r>
      </w:hyperlink>
    </w:p>
    <w:p w:rsidR="0038221D" w:rsidRPr="0038221D" w:rsidRDefault="0038221D">
      <w:pPr>
        <w:pStyle w:val="TOC1"/>
        <w:rPr>
          <w:rFonts w:asciiTheme="minorHAnsi" w:eastAsiaTheme="minorEastAsia" w:hAnsiTheme="minorHAnsi" w:cstheme="minorBidi"/>
          <w:b w:val="0"/>
          <w:color w:val="auto"/>
          <w:sz w:val="22"/>
          <w:lang w:eastAsia="en-AU"/>
        </w:rPr>
      </w:pPr>
      <w:hyperlink w:anchor="_Toc517270586" w:history="1">
        <w:r w:rsidRPr="0038221D">
          <w:rPr>
            <w:rStyle w:val="Hyperlink"/>
          </w:rPr>
          <w:t>Figure 12:</w:t>
        </w:r>
        <w:r w:rsidRPr="0038221D">
          <w:rPr>
            <w:rStyle w:val="Hyperlink"/>
            <w:b w:val="0"/>
          </w:rPr>
          <w:t xml:space="preserve"> Current living arrangements of students aged 25 years and over</w:t>
        </w:r>
        <w:r w:rsidRPr="0038221D">
          <w:rPr>
            <w:b w:val="0"/>
            <w:webHidden/>
          </w:rPr>
          <w:tab/>
        </w:r>
        <w:r w:rsidRPr="0038221D">
          <w:rPr>
            <w:b w:val="0"/>
            <w:webHidden/>
          </w:rPr>
          <w:fldChar w:fldCharType="begin"/>
        </w:r>
        <w:r w:rsidRPr="0038221D">
          <w:rPr>
            <w:b w:val="0"/>
            <w:webHidden/>
          </w:rPr>
          <w:instrText xml:space="preserve"> PAGEREF _Toc517270586 \h </w:instrText>
        </w:r>
        <w:r w:rsidRPr="0038221D">
          <w:rPr>
            <w:b w:val="0"/>
            <w:webHidden/>
          </w:rPr>
        </w:r>
        <w:r w:rsidRPr="0038221D">
          <w:rPr>
            <w:b w:val="0"/>
            <w:webHidden/>
          </w:rPr>
          <w:fldChar w:fldCharType="separate"/>
        </w:r>
        <w:r w:rsidR="0033032C">
          <w:rPr>
            <w:b w:val="0"/>
            <w:webHidden/>
          </w:rPr>
          <w:t>38</w:t>
        </w:r>
        <w:r w:rsidRPr="0038221D">
          <w:rPr>
            <w:b w:val="0"/>
            <w:webHidden/>
          </w:rPr>
          <w:fldChar w:fldCharType="end"/>
        </w:r>
      </w:hyperlink>
    </w:p>
    <w:p w:rsidR="0038221D" w:rsidRPr="0038221D" w:rsidRDefault="0038221D">
      <w:pPr>
        <w:pStyle w:val="TOC1"/>
        <w:rPr>
          <w:rFonts w:asciiTheme="minorHAnsi" w:eastAsiaTheme="minorEastAsia" w:hAnsiTheme="minorHAnsi" w:cstheme="minorBidi"/>
          <w:b w:val="0"/>
          <w:color w:val="auto"/>
          <w:sz w:val="22"/>
          <w:lang w:eastAsia="en-AU"/>
        </w:rPr>
      </w:pPr>
      <w:hyperlink w:anchor="_Toc517270587" w:history="1">
        <w:r w:rsidRPr="0038221D">
          <w:rPr>
            <w:rStyle w:val="Hyperlink"/>
          </w:rPr>
          <w:t xml:space="preserve">Figure 13: </w:t>
        </w:r>
        <w:r w:rsidRPr="0038221D">
          <w:rPr>
            <w:rStyle w:val="Hyperlink"/>
            <w:b w:val="0"/>
          </w:rPr>
          <w:t>Primary method of travel to and from university for students aged under 25</w:t>
        </w:r>
        <w:r w:rsidRPr="0038221D">
          <w:rPr>
            <w:b w:val="0"/>
            <w:webHidden/>
          </w:rPr>
          <w:tab/>
        </w:r>
        <w:r w:rsidRPr="0038221D">
          <w:rPr>
            <w:b w:val="0"/>
            <w:webHidden/>
          </w:rPr>
          <w:fldChar w:fldCharType="begin"/>
        </w:r>
        <w:r w:rsidRPr="0038221D">
          <w:rPr>
            <w:b w:val="0"/>
            <w:webHidden/>
          </w:rPr>
          <w:instrText xml:space="preserve"> PAGEREF _Toc517270587 \h </w:instrText>
        </w:r>
        <w:r w:rsidRPr="0038221D">
          <w:rPr>
            <w:b w:val="0"/>
            <w:webHidden/>
          </w:rPr>
        </w:r>
        <w:r w:rsidRPr="0038221D">
          <w:rPr>
            <w:b w:val="0"/>
            <w:webHidden/>
          </w:rPr>
          <w:fldChar w:fldCharType="separate"/>
        </w:r>
        <w:r w:rsidR="0033032C">
          <w:rPr>
            <w:b w:val="0"/>
            <w:webHidden/>
          </w:rPr>
          <w:t>40</w:t>
        </w:r>
        <w:r w:rsidRPr="0038221D">
          <w:rPr>
            <w:b w:val="0"/>
            <w:webHidden/>
          </w:rPr>
          <w:fldChar w:fldCharType="end"/>
        </w:r>
      </w:hyperlink>
    </w:p>
    <w:p w:rsidR="0038221D" w:rsidRPr="0038221D" w:rsidRDefault="0038221D">
      <w:pPr>
        <w:pStyle w:val="TOC1"/>
        <w:rPr>
          <w:rFonts w:asciiTheme="minorHAnsi" w:eastAsiaTheme="minorEastAsia" w:hAnsiTheme="minorHAnsi" w:cstheme="minorBidi"/>
          <w:b w:val="0"/>
          <w:color w:val="auto"/>
          <w:sz w:val="22"/>
          <w:lang w:eastAsia="en-AU"/>
        </w:rPr>
      </w:pPr>
      <w:hyperlink w:anchor="_Toc517270588" w:history="1">
        <w:r w:rsidRPr="0038221D">
          <w:rPr>
            <w:rStyle w:val="Hyperlink"/>
          </w:rPr>
          <w:t>Figure 14:</w:t>
        </w:r>
        <w:r w:rsidRPr="0038221D">
          <w:rPr>
            <w:rStyle w:val="Hyperlink"/>
            <w:b w:val="0"/>
          </w:rPr>
          <w:t xml:space="preserve"> Primary method of travel to and from university for students aged 25 and over</w:t>
        </w:r>
        <w:r w:rsidRPr="0038221D">
          <w:rPr>
            <w:b w:val="0"/>
            <w:webHidden/>
          </w:rPr>
          <w:tab/>
        </w:r>
        <w:r w:rsidRPr="0038221D">
          <w:rPr>
            <w:b w:val="0"/>
            <w:webHidden/>
          </w:rPr>
          <w:fldChar w:fldCharType="begin"/>
        </w:r>
        <w:r w:rsidRPr="0038221D">
          <w:rPr>
            <w:b w:val="0"/>
            <w:webHidden/>
          </w:rPr>
          <w:instrText xml:space="preserve"> PAGEREF _Toc517270588 \h </w:instrText>
        </w:r>
        <w:r w:rsidRPr="0038221D">
          <w:rPr>
            <w:b w:val="0"/>
            <w:webHidden/>
          </w:rPr>
        </w:r>
        <w:r w:rsidRPr="0038221D">
          <w:rPr>
            <w:b w:val="0"/>
            <w:webHidden/>
          </w:rPr>
          <w:fldChar w:fldCharType="separate"/>
        </w:r>
        <w:r w:rsidR="0033032C">
          <w:rPr>
            <w:b w:val="0"/>
            <w:webHidden/>
          </w:rPr>
          <w:t>41</w:t>
        </w:r>
        <w:r w:rsidRPr="0038221D">
          <w:rPr>
            <w:b w:val="0"/>
            <w:webHidden/>
          </w:rPr>
          <w:fldChar w:fldCharType="end"/>
        </w:r>
      </w:hyperlink>
    </w:p>
    <w:p w:rsidR="0038221D" w:rsidRPr="0038221D" w:rsidRDefault="0038221D">
      <w:pPr>
        <w:pStyle w:val="TOC1"/>
        <w:rPr>
          <w:rFonts w:asciiTheme="minorHAnsi" w:eastAsiaTheme="minorEastAsia" w:hAnsiTheme="minorHAnsi" w:cstheme="minorBidi"/>
          <w:b w:val="0"/>
          <w:color w:val="auto"/>
          <w:sz w:val="22"/>
          <w:lang w:eastAsia="en-AU"/>
        </w:rPr>
      </w:pPr>
      <w:hyperlink w:anchor="_Toc517270589" w:history="1">
        <w:r w:rsidRPr="0038221D">
          <w:rPr>
            <w:rStyle w:val="Hyperlink"/>
          </w:rPr>
          <w:t>Figure 15:</w:t>
        </w:r>
        <w:r w:rsidRPr="0038221D">
          <w:rPr>
            <w:rStyle w:val="Hyperlink"/>
            <w:b w:val="0"/>
          </w:rPr>
          <w:t xml:space="preserve"> Number of return visits rural students make to their rural homes per annum</w:t>
        </w:r>
        <w:r w:rsidRPr="0038221D">
          <w:rPr>
            <w:b w:val="0"/>
            <w:webHidden/>
          </w:rPr>
          <w:tab/>
        </w:r>
        <w:r w:rsidRPr="0038221D">
          <w:rPr>
            <w:b w:val="0"/>
            <w:webHidden/>
          </w:rPr>
          <w:fldChar w:fldCharType="begin"/>
        </w:r>
        <w:r w:rsidRPr="0038221D">
          <w:rPr>
            <w:b w:val="0"/>
            <w:webHidden/>
          </w:rPr>
          <w:instrText xml:space="preserve"> PAGEREF _Toc517270589 \h </w:instrText>
        </w:r>
        <w:r w:rsidRPr="0038221D">
          <w:rPr>
            <w:b w:val="0"/>
            <w:webHidden/>
          </w:rPr>
        </w:r>
        <w:r w:rsidRPr="0038221D">
          <w:rPr>
            <w:b w:val="0"/>
            <w:webHidden/>
          </w:rPr>
          <w:fldChar w:fldCharType="separate"/>
        </w:r>
        <w:r w:rsidR="0033032C">
          <w:rPr>
            <w:b w:val="0"/>
            <w:webHidden/>
          </w:rPr>
          <w:t>41</w:t>
        </w:r>
        <w:r w:rsidRPr="0038221D">
          <w:rPr>
            <w:b w:val="0"/>
            <w:webHidden/>
          </w:rPr>
          <w:fldChar w:fldCharType="end"/>
        </w:r>
      </w:hyperlink>
    </w:p>
    <w:p w:rsidR="0038221D" w:rsidRPr="0038221D" w:rsidRDefault="0038221D">
      <w:pPr>
        <w:pStyle w:val="TOC1"/>
        <w:rPr>
          <w:rFonts w:asciiTheme="minorHAnsi" w:eastAsiaTheme="minorEastAsia" w:hAnsiTheme="minorHAnsi" w:cstheme="minorBidi"/>
          <w:b w:val="0"/>
          <w:color w:val="auto"/>
          <w:sz w:val="22"/>
          <w:lang w:eastAsia="en-AU"/>
        </w:rPr>
      </w:pPr>
      <w:hyperlink w:anchor="_Toc517270590" w:history="1">
        <w:r w:rsidRPr="0038221D">
          <w:rPr>
            <w:rStyle w:val="Hyperlink"/>
          </w:rPr>
          <w:t>Figure 16:</w:t>
        </w:r>
        <w:r w:rsidRPr="0038221D">
          <w:rPr>
            <w:rStyle w:val="Hyperlink"/>
            <w:b w:val="0"/>
          </w:rPr>
          <w:t xml:space="preserve"> Barriers that prevent rural students from visiting their rural homes</w:t>
        </w:r>
        <w:r w:rsidRPr="0038221D">
          <w:rPr>
            <w:b w:val="0"/>
            <w:webHidden/>
          </w:rPr>
          <w:tab/>
        </w:r>
        <w:r w:rsidRPr="0038221D">
          <w:rPr>
            <w:b w:val="0"/>
            <w:webHidden/>
          </w:rPr>
          <w:fldChar w:fldCharType="begin"/>
        </w:r>
        <w:r w:rsidRPr="0038221D">
          <w:rPr>
            <w:b w:val="0"/>
            <w:webHidden/>
          </w:rPr>
          <w:instrText xml:space="preserve"> PAGEREF _Toc517270590 \h </w:instrText>
        </w:r>
        <w:r w:rsidRPr="0038221D">
          <w:rPr>
            <w:b w:val="0"/>
            <w:webHidden/>
          </w:rPr>
        </w:r>
        <w:r w:rsidRPr="0038221D">
          <w:rPr>
            <w:b w:val="0"/>
            <w:webHidden/>
          </w:rPr>
          <w:fldChar w:fldCharType="separate"/>
        </w:r>
        <w:r w:rsidR="0033032C">
          <w:rPr>
            <w:b w:val="0"/>
            <w:webHidden/>
          </w:rPr>
          <w:t>42</w:t>
        </w:r>
        <w:r w:rsidRPr="0038221D">
          <w:rPr>
            <w:b w:val="0"/>
            <w:webHidden/>
          </w:rPr>
          <w:fldChar w:fldCharType="end"/>
        </w:r>
      </w:hyperlink>
    </w:p>
    <w:p w:rsidR="0038221D" w:rsidRPr="0038221D" w:rsidRDefault="0038221D">
      <w:pPr>
        <w:pStyle w:val="TOC1"/>
        <w:rPr>
          <w:rFonts w:asciiTheme="minorHAnsi" w:eastAsiaTheme="minorEastAsia" w:hAnsiTheme="minorHAnsi" w:cstheme="minorBidi"/>
          <w:b w:val="0"/>
          <w:color w:val="auto"/>
          <w:sz w:val="22"/>
          <w:lang w:eastAsia="en-AU"/>
        </w:rPr>
      </w:pPr>
      <w:hyperlink w:anchor="_Toc517270591" w:history="1">
        <w:r w:rsidRPr="0038221D">
          <w:rPr>
            <w:rStyle w:val="Hyperlink"/>
          </w:rPr>
          <w:t>Figure 17:</w:t>
        </w:r>
        <w:r w:rsidRPr="0038221D">
          <w:rPr>
            <w:rStyle w:val="Hyperlink"/>
            <w:b w:val="0"/>
          </w:rPr>
          <w:t xml:space="preserve"> Indicators of financial stress for regional students</w:t>
        </w:r>
        <w:r w:rsidRPr="0038221D">
          <w:rPr>
            <w:b w:val="0"/>
            <w:webHidden/>
          </w:rPr>
          <w:tab/>
        </w:r>
        <w:r w:rsidRPr="0038221D">
          <w:rPr>
            <w:b w:val="0"/>
            <w:webHidden/>
          </w:rPr>
          <w:fldChar w:fldCharType="begin"/>
        </w:r>
        <w:r w:rsidRPr="0038221D">
          <w:rPr>
            <w:b w:val="0"/>
            <w:webHidden/>
          </w:rPr>
          <w:instrText xml:space="preserve"> PAGEREF _Toc517270591 \h </w:instrText>
        </w:r>
        <w:r w:rsidRPr="0038221D">
          <w:rPr>
            <w:b w:val="0"/>
            <w:webHidden/>
          </w:rPr>
        </w:r>
        <w:r w:rsidRPr="0038221D">
          <w:rPr>
            <w:b w:val="0"/>
            <w:webHidden/>
          </w:rPr>
          <w:fldChar w:fldCharType="separate"/>
        </w:r>
        <w:r w:rsidR="0033032C">
          <w:rPr>
            <w:b w:val="0"/>
            <w:webHidden/>
          </w:rPr>
          <w:t>44</w:t>
        </w:r>
        <w:r w:rsidRPr="0038221D">
          <w:rPr>
            <w:b w:val="0"/>
            <w:webHidden/>
          </w:rPr>
          <w:fldChar w:fldCharType="end"/>
        </w:r>
      </w:hyperlink>
    </w:p>
    <w:p w:rsidR="0038221D" w:rsidRPr="0038221D" w:rsidRDefault="0038221D">
      <w:pPr>
        <w:pStyle w:val="TOC1"/>
        <w:rPr>
          <w:rFonts w:asciiTheme="minorHAnsi" w:eastAsiaTheme="minorEastAsia" w:hAnsiTheme="minorHAnsi" w:cstheme="minorBidi"/>
          <w:b w:val="0"/>
          <w:color w:val="auto"/>
          <w:sz w:val="22"/>
          <w:lang w:eastAsia="en-AU"/>
        </w:rPr>
      </w:pPr>
      <w:hyperlink w:anchor="_Toc517270592" w:history="1">
        <w:r w:rsidRPr="0038221D">
          <w:rPr>
            <w:rStyle w:val="Hyperlink"/>
          </w:rPr>
          <w:t>Figure 18:</w:t>
        </w:r>
        <w:r w:rsidRPr="0038221D">
          <w:rPr>
            <w:rStyle w:val="Hyperlink"/>
            <w:b w:val="0"/>
          </w:rPr>
          <w:t xml:space="preserve"> Financial impact on university studies for students aged under 25 years of age</w:t>
        </w:r>
        <w:r w:rsidRPr="0038221D">
          <w:rPr>
            <w:b w:val="0"/>
            <w:webHidden/>
          </w:rPr>
          <w:tab/>
        </w:r>
        <w:r w:rsidRPr="0038221D">
          <w:rPr>
            <w:b w:val="0"/>
            <w:webHidden/>
          </w:rPr>
          <w:fldChar w:fldCharType="begin"/>
        </w:r>
        <w:r w:rsidRPr="0038221D">
          <w:rPr>
            <w:b w:val="0"/>
            <w:webHidden/>
          </w:rPr>
          <w:instrText xml:space="preserve"> PAGEREF _Toc517270592 \h </w:instrText>
        </w:r>
        <w:r w:rsidRPr="0038221D">
          <w:rPr>
            <w:b w:val="0"/>
            <w:webHidden/>
          </w:rPr>
        </w:r>
        <w:r w:rsidRPr="0038221D">
          <w:rPr>
            <w:b w:val="0"/>
            <w:webHidden/>
          </w:rPr>
          <w:fldChar w:fldCharType="separate"/>
        </w:r>
        <w:r w:rsidR="0033032C">
          <w:rPr>
            <w:b w:val="0"/>
            <w:webHidden/>
          </w:rPr>
          <w:t>45</w:t>
        </w:r>
        <w:r w:rsidRPr="0038221D">
          <w:rPr>
            <w:b w:val="0"/>
            <w:webHidden/>
          </w:rPr>
          <w:fldChar w:fldCharType="end"/>
        </w:r>
      </w:hyperlink>
    </w:p>
    <w:p w:rsidR="0038221D" w:rsidRPr="0038221D" w:rsidRDefault="0038221D">
      <w:pPr>
        <w:pStyle w:val="TOC1"/>
        <w:rPr>
          <w:rFonts w:asciiTheme="minorHAnsi" w:eastAsiaTheme="minorEastAsia" w:hAnsiTheme="minorHAnsi" w:cstheme="minorBidi"/>
          <w:b w:val="0"/>
          <w:color w:val="auto"/>
          <w:sz w:val="22"/>
          <w:lang w:eastAsia="en-AU"/>
        </w:rPr>
      </w:pPr>
      <w:hyperlink w:anchor="_Toc517270593" w:history="1">
        <w:r w:rsidRPr="0038221D">
          <w:rPr>
            <w:rStyle w:val="Hyperlink"/>
          </w:rPr>
          <w:t>Figure 19:</w:t>
        </w:r>
        <w:r w:rsidRPr="0038221D">
          <w:rPr>
            <w:rStyle w:val="Hyperlink"/>
            <w:b w:val="0"/>
          </w:rPr>
          <w:t xml:space="preserve"> Financial impact on university studies for students 25 years and over</w:t>
        </w:r>
        <w:r w:rsidRPr="0038221D">
          <w:rPr>
            <w:b w:val="0"/>
            <w:webHidden/>
          </w:rPr>
          <w:tab/>
        </w:r>
        <w:r w:rsidRPr="0038221D">
          <w:rPr>
            <w:b w:val="0"/>
            <w:webHidden/>
          </w:rPr>
          <w:fldChar w:fldCharType="begin"/>
        </w:r>
        <w:r w:rsidRPr="0038221D">
          <w:rPr>
            <w:b w:val="0"/>
            <w:webHidden/>
          </w:rPr>
          <w:instrText xml:space="preserve"> PAGEREF _Toc517270593 \h </w:instrText>
        </w:r>
        <w:r w:rsidRPr="0038221D">
          <w:rPr>
            <w:b w:val="0"/>
            <w:webHidden/>
          </w:rPr>
        </w:r>
        <w:r w:rsidRPr="0038221D">
          <w:rPr>
            <w:b w:val="0"/>
            <w:webHidden/>
          </w:rPr>
          <w:fldChar w:fldCharType="separate"/>
        </w:r>
        <w:r w:rsidR="0033032C">
          <w:rPr>
            <w:b w:val="0"/>
            <w:webHidden/>
          </w:rPr>
          <w:t>46</w:t>
        </w:r>
        <w:r w:rsidRPr="0038221D">
          <w:rPr>
            <w:b w:val="0"/>
            <w:webHidden/>
          </w:rPr>
          <w:fldChar w:fldCharType="end"/>
        </w:r>
      </w:hyperlink>
    </w:p>
    <w:p w:rsidR="0038221D" w:rsidRPr="0038221D" w:rsidRDefault="0038221D">
      <w:pPr>
        <w:pStyle w:val="TOC1"/>
        <w:rPr>
          <w:rFonts w:asciiTheme="minorHAnsi" w:eastAsiaTheme="minorEastAsia" w:hAnsiTheme="minorHAnsi" w:cstheme="minorBidi"/>
          <w:b w:val="0"/>
          <w:color w:val="auto"/>
          <w:sz w:val="22"/>
          <w:lang w:eastAsia="en-AU"/>
        </w:rPr>
      </w:pPr>
      <w:hyperlink w:anchor="_Toc517270594" w:history="1">
        <w:r w:rsidRPr="0038221D">
          <w:rPr>
            <w:rStyle w:val="Hyperlink"/>
          </w:rPr>
          <w:t>Figure 20:</w:t>
        </w:r>
        <w:r w:rsidRPr="0038221D">
          <w:rPr>
            <w:rStyle w:val="Hyperlink"/>
            <w:b w:val="0"/>
          </w:rPr>
          <w:t xml:space="preserve"> Primary motivations to attend university</w:t>
        </w:r>
        <w:r w:rsidRPr="0038221D">
          <w:rPr>
            <w:b w:val="0"/>
            <w:webHidden/>
          </w:rPr>
          <w:tab/>
        </w:r>
        <w:r w:rsidRPr="0038221D">
          <w:rPr>
            <w:b w:val="0"/>
            <w:webHidden/>
          </w:rPr>
          <w:fldChar w:fldCharType="begin"/>
        </w:r>
        <w:r w:rsidRPr="0038221D">
          <w:rPr>
            <w:b w:val="0"/>
            <w:webHidden/>
          </w:rPr>
          <w:instrText xml:space="preserve"> PAGEREF _Toc517270594 \h </w:instrText>
        </w:r>
        <w:r w:rsidRPr="0038221D">
          <w:rPr>
            <w:b w:val="0"/>
            <w:webHidden/>
          </w:rPr>
        </w:r>
        <w:r w:rsidRPr="0038221D">
          <w:rPr>
            <w:b w:val="0"/>
            <w:webHidden/>
          </w:rPr>
          <w:fldChar w:fldCharType="separate"/>
        </w:r>
        <w:r w:rsidR="0033032C">
          <w:rPr>
            <w:b w:val="0"/>
            <w:webHidden/>
          </w:rPr>
          <w:t>48</w:t>
        </w:r>
        <w:r w:rsidRPr="0038221D">
          <w:rPr>
            <w:b w:val="0"/>
            <w:webHidden/>
          </w:rPr>
          <w:fldChar w:fldCharType="end"/>
        </w:r>
      </w:hyperlink>
    </w:p>
    <w:p w:rsidR="0038221D" w:rsidRPr="0038221D" w:rsidRDefault="0038221D">
      <w:pPr>
        <w:pStyle w:val="TOC1"/>
        <w:rPr>
          <w:rFonts w:asciiTheme="minorHAnsi" w:eastAsiaTheme="minorEastAsia" w:hAnsiTheme="minorHAnsi" w:cstheme="minorBidi"/>
          <w:b w:val="0"/>
          <w:color w:val="auto"/>
          <w:sz w:val="22"/>
          <w:lang w:eastAsia="en-AU"/>
        </w:rPr>
      </w:pPr>
      <w:hyperlink w:anchor="_Toc517270595" w:history="1">
        <w:r w:rsidRPr="0038221D">
          <w:rPr>
            <w:rStyle w:val="Hyperlink"/>
          </w:rPr>
          <w:t>Figure 21:</w:t>
        </w:r>
        <w:r w:rsidRPr="0038221D">
          <w:rPr>
            <w:rStyle w:val="Hyperlink"/>
            <w:b w:val="0"/>
          </w:rPr>
          <w:t xml:space="preserve"> Level of support for student decision to attend university</w:t>
        </w:r>
        <w:r w:rsidRPr="0038221D">
          <w:rPr>
            <w:b w:val="0"/>
            <w:webHidden/>
          </w:rPr>
          <w:tab/>
        </w:r>
        <w:r w:rsidRPr="0038221D">
          <w:rPr>
            <w:b w:val="0"/>
            <w:webHidden/>
          </w:rPr>
          <w:fldChar w:fldCharType="begin"/>
        </w:r>
        <w:r w:rsidRPr="0038221D">
          <w:rPr>
            <w:b w:val="0"/>
            <w:webHidden/>
          </w:rPr>
          <w:instrText xml:space="preserve"> PAGEREF _Toc517270595 \h </w:instrText>
        </w:r>
        <w:r w:rsidRPr="0038221D">
          <w:rPr>
            <w:b w:val="0"/>
            <w:webHidden/>
          </w:rPr>
        </w:r>
        <w:r w:rsidRPr="0038221D">
          <w:rPr>
            <w:b w:val="0"/>
            <w:webHidden/>
          </w:rPr>
          <w:fldChar w:fldCharType="separate"/>
        </w:r>
        <w:r w:rsidR="0033032C">
          <w:rPr>
            <w:b w:val="0"/>
            <w:webHidden/>
          </w:rPr>
          <w:t>49</w:t>
        </w:r>
        <w:r w:rsidRPr="0038221D">
          <w:rPr>
            <w:b w:val="0"/>
            <w:webHidden/>
          </w:rPr>
          <w:fldChar w:fldCharType="end"/>
        </w:r>
      </w:hyperlink>
    </w:p>
    <w:p w:rsidR="0038221D" w:rsidRPr="0038221D" w:rsidRDefault="0038221D">
      <w:pPr>
        <w:pStyle w:val="TOC1"/>
        <w:rPr>
          <w:rFonts w:asciiTheme="minorHAnsi" w:eastAsiaTheme="minorEastAsia" w:hAnsiTheme="minorHAnsi" w:cstheme="minorBidi"/>
          <w:b w:val="0"/>
          <w:color w:val="auto"/>
          <w:sz w:val="22"/>
          <w:lang w:eastAsia="en-AU"/>
        </w:rPr>
      </w:pPr>
      <w:hyperlink w:anchor="_Toc517270596" w:history="1">
        <w:r w:rsidRPr="0038221D">
          <w:rPr>
            <w:rStyle w:val="Hyperlink"/>
          </w:rPr>
          <w:t xml:space="preserve">Figure 22: </w:t>
        </w:r>
        <w:r w:rsidRPr="0038221D">
          <w:rPr>
            <w:rStyle w:val="Hyperlink"/>
            <w:b w:val="0"/>
          </w:rPr>
          <w:t>Level of preparedness of associated costs of attending university</w:t>
        </w:r>
        <w:r w:rsidRPr="0038221D">
          <w:rPr>
            <w:b w:val="0"/>
            <w:webHidden/>
          </w:rPr>
          <w:tab/>
        </w:r>
        <w:r w:rsidRPr="0038221D">
          <w:rPr>
            <w:b w:val="0"/>
            <w:webHidden/>
          </w:rPr>
          <w:fldChar w:fldCharType="begin"/>
        </w:r>
        <w:r w:rsidRPr="0038221D">
          <w:rPr>
            <w:b w:val="0"/>
            <w:webHidden/>
          </w:rPr>
          <w:instrText xml:space="preserve"> PAGEREF _Toc517270596 \h </w:instrText>
        </w:r>
        <w:r w:rsidRPr="0038221D">
          <w:rPr>
            <w:b w:val="0"/>
            <w:webHidden/>
          </w:rPr>
        </w:r>
        <w:r w:rsidRPr="0038221D">
          <w:rPr>
            <w:b w:val="0"/>
            <w:webHidden/>
          </w:rPr>
          <w:fldChar w:fldCharType="separate"/>
        </w:r>
        <w:r w:rsidR="0033032C">
          <w:rPr>
            <w:b w:val="0"/>
            <w:webHidden/>
          </w:rPr>
          <w:t>50</w:t>
        </w:r>
        <w:r w:rsidRPr="0038221D">
          <w:rPr>
            <w:b w:val="0"/>
            <w:webHidden/>
          </w:rPr>
          <w:fldChar w:fldCharType="end"/>
        </w:r>
      </w:hyperlink>
    </w:p>
    <w:p w:rsidR="0038221D" w:rsidRPr="0038221D" w:rsidRDefault="0038221D">
      <w:pPr>
        <w:pStyle w:val="TOC1"/>
        <w:rPr>
          <w:rFonts w:asciiTheme="minorHAnsi" w:eastAsiaTheme="minorEastAsia" w:hAnsiTheme="minorHAnsi" w:cstheme="minorBidi"/>
          <w:b w:val="0"/>
          <w:color w:val="auto"/>
          <w:sz w:val="22"/>
          <w:lang w:eastAsia="en-AU"/>
        </w:rPr>
      </w:pPr>
      <w:hyperlink w:anchor="_Toc517270597" w:history="1">
        <w:r w:rsidRPr="0038221D">
          <w:rPr>
            <w:rStyle w:val="Hyperlink"/>
          </w:rPr>
          <w:t>Figure 23:</w:t>
        </w:r>
        <w:r w:rsidRPr="0038221D">
          <w:rPr>
            <w:rStyle w:val="Hyperlink"/>
            <w:b w:val="0"/>
          </w:rPr>
          <w:t xml:space="preserve"> Sources of information about the cost of attending university</w:t>
        </w:r>
        <w:r w:rsidRPr="0038221D">
          <w:rPr>
            <w:b w:val="0"/>
            <w:webHidden/>
          </w:rPr>
          <w:tab/>
        </w:r>
        <w:r w:rsidRPr="0038221D">
          <w:rPr>
            <w:b w:val="0"/>
            <w:webHidden/>
          </w:rPr>
          <w:fldChar w:fldCharType="begin"/>
        </w:r>
        <w:r w:rsidRPr="0038221D">
          <w:rPr>
            <w:b w:val="0"/>
            <w:webHidden/>
          </w:rPr>
          <w:instrText xml:space="preserve"> PAGEREF _Toc517270597 \h </w:instrText>
        </w:r>
        <w:r w:rsidRPr="0038221D">
          <w:rPr>
            <w:b w:val="0"/>
            <w:webHidden/>
          </w:rPr>
        </w:r>
        <w:r w:rsidRPr="0038221D">
          <w:rPr>
            <w:b w:val="0"/>
            <w:webHidden/>
          </w:rPr>
          <w:fldChar w:fldCharType="separate"/>
        </w:r>
        <w:r w:rsidR="0033032C">
          <w:rPr>
            <w:b w:val="0"/>
            <w:webHidden/>
          </w:rPr>
          <w:t>50</w:t>
        </w:r>
        <w:r w:rsidRPr="0038221D">
          <w:rPr>
            <w:b w:val="0"/>
            <w:webHidden/>
          </w:rPr>
          <w:fldChar w:fldCharType="end"/>
        </w:r>
      </w:hyperlink>
    </w:p>
    <w:p w:rsidR="0038221D" w:rsidRPr="0038221D" w:rsidRDefault="0038221D">
      <w:pPr>
        <w:pStyle w:val="TOC1"/>
        <w:rPr>
          <w:rFonts w:asciiTheme="minorHAnsi" w:eastAsiaTheme="minorEastAsia" w:hAnsiTheme="minorHAnsi" w:cstheme="minorBidi"/>
          <w:b w:val="0"/>
          <w:color w:val="auto"/>
          <w:sz w:val="22"/>
          <w:lang w:eastAsia="en-AU"/>
        </w:rPr>
      </w:pPr>
      <w:hyperlink w:anchor="_Toc517270598" w:history="1">
        <w:r w:rsidRPr="0038221D">
          <w:rPr>
            <w:rStyle w:val="Hyperlink"/>
          </w:rPr>
          <w:t>Figure 24:</w:t>
        </w:r>
        <w:r w:rsidRPr="0038221D">
          <w:rPr>
            <w:rStyle w:val="Hyperlink"/>
            <w:b w:val="0"/>
          </w:rPr>
          <w:t xml:space="preserve"> Reasons why regional and remote students study part-time</w:t>
        </w:r>
        <w:r w:rsidRPr="0038221D">
          <w:rPr>
            <w:b w:val="0"/>
            <w:webHidden/>
          </w:rPr>
          <w:tab/>
        </w:r>
        <w:r w:rsidRPr="0038221D">
          <w:rPr>
            <w:b w:val="0"/>
            <w:webHidden/>
          </w:rPr>
          <w:fldChar w:fldCharType="begin"/>
        </w:r>
        <w:r w:rsidRPr="0038221D">
          <w:rPr>
            <w:b w:val="0"/>
            <w:webHidden/>
          </w:rPr>
          <w:instrText xml:space="preserve"> PAGEREF _Toc517270598 \h </w:instrText>
        </w:r>
        <w:r w:rsidRPr="0038221D">
          <w:rPr>
            <w:b w:val="0"/>
            <w:webHidden/>
          </w:rPr>
        </w:r>
        <w:r w:rsidRPr="0038221D">
          <w:rPr>
            <w:b w:val="0"/>
            <w:webHidden/>
          </w:rPr>
          <w:fldChar w:fldCharType="separate"/>
        </w:r>
        <w:r w:rsidR="0033032C">
          <w:rPr>
            <w:b w:val="0"/>
            <w:webHidden/>
          </w:rPr>
          <w:t>51</w:t>
        </w:r>
        <w:r w:rsidRPr="0038221D">
          <w:rPr>
            <w:b w:val="0"/>
            <w:webHidden/>
          </w:rPr>
          <w:fldChar w:fldCharType="end"/>
        </w:r>
      </w:hyperlink>
    </w:p>
    <w:p w:rsidR="0038221D" w:rsidRPr="0038221D" w:rsidRDefault="0038221D">
      <w:pPr>
        <w:pStyle w:val="TOC1"/>
        <w:rPr>
          <w:rFonts w:asciiTheme="minorHAnsi" w:eastAsiaTheme="minorEastAsia" w:hAnsiTheme="minorHAnsi" w:cstheme="minorBidi"/>
          <w:b w:val="0"/>
          <w:color w:val="auto"/>
          <w:sz w:val="22"/>
          <w:lang w:eastAsia="en-AU"/>
        </w:rPr>
      </w:pPr>
      <w:hyperlink w:anchor="_Toc517270599" w:history="1">
        <w:r w:rsidRPr="0038221D">
          <w:rPr>
            <w:rStyle w:val="Hyperlink"/>
          </w:rPr>
          <w:t>Figure 25:</w:t>
        </w:r>
        <w:r w:rsidRPr="0038221D">
          <w:rPr>
            <w:rStyle w:val="Hyperlink"/>
            <w:b w:val="0"/>
          </w:rPr>
          <w:t xml:space="preserve"> Reasons students elect to study at a metropolitan campus</w:t>
        </w:r>
        <w:r w:rsidRPr="0038221D">
          <w:rPr>
            <w:b w:val="0"/>
            <w:webHidden/>
          </w:rPr>
          <w:tab/>
        </w:r>
        <w:r w:rsidRPr="0038221D">
          <w:rPr>
            <w:b w:val="0"/>
            <w:webHidden/>
          </w:rPr>
          <w:fldChar w:fldCharType="begin"/>
        </w:r>
        <w:r w:rsidRPr="0038221D">
          <w:rPr>
            <w:b w:val="0"/>
            <w:webHidden/>
          </w:rPr>
          <w:instrText xml:space="preserve"> PAGEREF _Toc517270599 \h </w:instrText>
        </w:r>
        <w:r w:rsidRPr="0038221D">
          <w:rPr>
            <w:b w:val="0"/>
            <w:webHidden/>
          </w:rPr>
        </w:r>
        <w:r w:rsidRPr="0038221D">
          <w:rPr>
            <w:b w:val="0"/>
            <w:webHidden/>
          </w:rPr>
          <w:fldChar w:fldCharType="separate"/>
        </w:r>
        <w:r w:rsidR="0033032C">
          <w:rPr>
            <w:b w:val="0"/>
            <w:webHidden/>
          </w:rPr>
          <w:t>54</w:t>
        </w:r>
        <w:r w:rsidRPr="0038221D">
          <w:rPr>
            <w:b w:val="0"/>
            <w:webHidden/>
          </w:rPr>
          <w:fldChar w:fldCharType="end"/>
        </w:r>
      </w:hyperlink>
    </w:p>
    <w:p w:rsidR="0038221D" w:rsidRPr="0038221D" w:rsidRDefault="0038221D">
      <w:pPr>
        <w:pStyle w:val="TOC1"/>
        <w:rPr>
          <w:rFonts w:asciiTheme="minorHAnsi" w:eastAsiaTheme="minorEastAsia" w:hAnsiTheme="minorHAnsi" w:cstheme="minorBidi"/>
          <w:b w:val="0"/>
          <w:color w:val="auto"/>
          <w:sz w:val="22"/>
          <w:lang w:eastAsia="en-AU"/>
        </w:rPr>
      </w:pPr>
      <w:hyperlink w:anchor="_Toc517270600" w:history="1">
        <w:r w:rsidRPr="0038221D">
          <w:rPr>
            <w:rStyle w:val="Hyperlink"/>
          </w:rPr>
          <w:t>Figure 26:</w:t>
        </w:r>
        <w:r w:rsidRPr="0038221D">
          <w:rPr>
            <w:rStyle w:val="Hyperlink"/>
            <w:b w:val="0"/>
          </w:rPr>
          <w:t xml:space="preserve"> Reasons students elect to study at a regional campus</w:t>
        </w:r>
        <w:r w:rsidRPr="0038221D">
          <w:rPr>
            <w:b w:val="0"/>
            <w:webHidden/>
          </w:rPr>
          <w:tab/>
        </w:r>
        <w:r w:rsidRPr="0038221D">
          <w:rPr>
            <w:b w:val="0"/>
            <w:webHidden/>
          </w:rPr>
          <w:fldChar w:fldCharType="begin"/>
        </w:r>
        <w:r w:rsidRPr="0038221D">
          <w:rPr>
            <w:b w:val="0"/>
            <w:webHidden/>
          </w:rPr>
          <w:instrText xml:space="preserve"> PAGEREF _Toc517270600 \h </w:instrText>
        </w:r>
        <w:r w:rsidRPr="0038221D">
          <w:rPr>
            <w:b w:val="0"/>
            <w:webHidden/>
          </w:rPr>
        </w:r>
        <w:r w:rsidRPr="0038221D">
          <w:rPr>
            <w:b w:val="0"/>
            <w:webHidden/>
          </w:rPr>
          <w:fldChar w:fldCharType="separate"/>
        </w:r>
        <w:r w:rsidR="0033032C">
          <w:rPr>
            <w:b w:val="0"/>
            <w:webHidden/>
          </w:rPr>
          <w:t>55</w:t>
        </w:r>
        <w:r w:rsidRPr="0038221D">
          <w:rPr>
            <w:b w:val="0"/>
            <w:webHidden/>
          </w:rPr>
          <w:fldChar w:fldCharType="end"/>
        </w:r>
      </w:hyperlink>
    </w:p>
    <w:p w:rsidR="0038221D" w:rsidRPr="0038221D" w:rsidRDefault="0038221D">
      <w:pPr>
        <w:pStyle w:val="TOC1"/>
        <w:rPr>
          <w:rFonts w:asciiTheme="minorHAnsi" w:eastAsiaTheme="minorEastAsia" w:hAnsiTheme="minorHAnsi" w:cstheme="minorBidi"/>
          <w:b w:val="0"/>
          <w:color w:val="auto"/>
          <w:sz w:val="22"/>
          <w:lang w:eastAsia="en-AU"/>
        </w:rPr>
      </w:pPr>
      <w:hyperlink w:anchor="_Toc517270601" w:history="1">
        <w:r w:rsidRPr="0038221D">
          <w:rPr>
            <w:rStyle w:val="Hyperlink"/>
          </w:rPr>
          <w:t>Figure 27:</w:t>
        </w:r>
        <w:r w:rsidRPr="0038221D">
          <w:rPr>
            <w:rStyle w:val="Hyperlink"/>
            <w:b w:val="0"/>
          </w:rPr>
          <w:t xml:space="preserve"> Challenges associated with relocating to complete professional placement</w:t>
        </w:r>
        <w:r w:rsidRPr="0038221D">
          <w:rPr>
            <w:b w:val="0"/>
            <w:webHidden/>
          </w:rPr>
          <w:tab/>
        </w:r>
        <w:r w:rsidRPr="0038221D">
          <w:rPr>
            <w:b w:val="0"/>
            <w:webHidden/>
          </w:rPr>
          <w:fldChar w:fldCharType="begin"/>
        </w:r>
        <w:r w:rsidRPr="0038221D">
          <w:rPr>
            <w:b w:val="0"/>
            <w:webHidden/>
          </w:rPr>
          <w:instrText xml:space="preserve"> PAGEREF _Toc517270601 \h </w:instrText>
        </w:r>
        <w:r w:rsidRPr="0038221D">
          <w:rPr>
            <w:b w:val="0"/>
            <w:webHidden/>
          </w:rPr>
        </w:r>
        <w:r w:rsidRPr="0038221D">
          <w:rPr>
            <w:b w:val="0"/>
            <w:webHidden/>
          </w:rPr>
          <w:fldChar w:fldCharType="separate"/>
        </w:r>
        <w:r w:rsidR="0033032C">
          <w:rPr>
            <w:b w:val="0"/>
            <w:webHidden/>
          </w:rPr>
          <w:t>56</w:t>
        </w:r>
        <w:r w:rsidRPr="0038221D">
          <w:rPr>
            <w:b w:val="0"/>
            <w:webHidden/>
          </w:rPr>
          <w:fldChar w:fldCharType="end"/>
        </w:r>
      </w:hyperlink>
    </w:p>
    <w:p w:rsidR="0038221D" w:rsidRPr="0038221D" w:rsidRDefault="0038221D">
      <w:pPr>
        <w:pStyle w:val="TOC1"/>
        <w:rPr>
          <w:rFonts w:asciiTheme="minorHAnsi" w:eastAsiaTheme="minorEastAsia" w:hAnsiTheme="minorHAnsi" w:cstheme="minorBidi"/>
          <w:b w:val="0"/>
          <w:color w:val="auto"/>
          <w:sz w:val="22"/>
          <w:lang w:eastAsia="en-AU"/>
        </w:rPr>
      </w:pPr>
      <w:hyperlink w:anchor="_Toc517270602" w:history="1">
        <w:r w:rsidRPr="0038221D">
          <w:rPr>
            <w:rStyle w:val="Hyperlink"/>
          </w:rPr>
          <w:t xml:space="preserve">Figure 28: </w:t>
        </w:r>
        <w:r w:rsidRPr="0038221D">
          <w:rPr>
            <w:rStyle w:val="Hyperlink"/>
            <w:b w:val="0"/>
          </w:rPr>
          <w:t>Reasons for taking a gap year</w:t>
        </w:r>
        <w:r w:rsidRPr="0038221D">
          <w:rPr>
            <w:b w:val="0"/>
            <w:webHidden/>
          </w:rPr>
          <w:tab/>
        </w:r>
        <w:r w:rsidRPr="0038221D">
          <w:rPr>
            <w:b w:val="0"/>
            <w:webHidden/>
          </w:rPr>
          <w:fldChar w:fldCharType="begin"/>
        </w:r>
        <w:r w:rsidRPr="0038221D">
          <w:rPr>
            <w:b w:val="0"/>
            <w:webHidden/>
          </w:rPr>
          <w:instrText xml:space="preserve"> PAGEREF _Toc517270602 \h </w:instrText>
        </w:r>
        <w:r w:rsidRPr="0038221D">
          <w:rPr>
            <w:b w:val="0"/>
            <w:webHidden/>
          </w:rPr>
        </w:r>
        <w:r w:rsidRPr="0038221D">
          <w:rPr>
            <w:b w:val="0"/>
            <w:webHidden/>
          </w:rPr>
          <w:fldChar w:fldCharType="separate"/>
        </w:r>
        <w:r w:rsidR="0033032C">
          <w:rPr>
            <w:b w:val="0"/>
            <w:webHidden/>
          </w:rPr>
          <w:t>57</w:t>
        </w:r>
        <w:r w:rsidRPr="0038221D">
          <w:rPr>
            <w:b w:val="0"/>
            <w:webHidden/>
          </w:rPr>
          <w:fldChar w:fldCharType="end"/>
        </w:r>
      </w:hyperlink>
    </w:p>
    <w:p w:rsidR="00E82F18" w:rsidRPr="0038221D" w:rsidRDefault="0038221D" w:rsidP="0038221D">
      <w:r w:rsidRPr="0038221D">
        <w:fldChar w:fldCharType="end"/>
      </w:r>
      <w:r w:rsidR="00E82F18" w:rsidRPr="0038221D">
        <w:br w:type="page"/>
      </w:r>
      <w:bookmarkStart w:id="3" w:name="_GoBack"/>
      <w:bookmarkEnd w:id="3"/>
    </w:p>
    <w:p w:rsidR="004264A2" w:rsidRDefault="00E82F18" w:rsidP="00E82F18">
      <w:pPr>
        <w:pStyle w:val="Heading1"/>
      </w:pPr>
      <w:bookmarkStart w:id="4" w:name="_Toc517270317"/>
      <w:r>
        <w:lastRenderedPageBreak/>
        <w:t>Acknowledgements</w:t>
      </w:r>
      <w:bookmarkEnd w:id="4"/>
    </w:p>
    <w:p w:rsidR="00E82F18" w:rsidRDefault="00E82F18" w:rsidP="00E82F18">
      <w:r>
        <w:t>This project was funded by the Australian Government under the Higher Education Participation and Partnerships Program (HEPPP) in 2015.</w:t>
      </w:r>
    </w:p>
    <w:p w:rsidR="00E82F18" w:rsidRDefault="00E82F18" w:rsidP="00E82F18">
      <w:r>
        <w:t>We wish to acknowledge the support of various internal and external stakeholders who have assisted with the progression and completion of the project. Firstly we would like to acknowledge and thank Education Consultant Dr Dianne Bills for her personal support, assistance in the data collection process and valuable input into the project. We also acknowledge the contributions of the stakeholder reference group members comprising Lalita McHenry, Scott Jones, Chris Crabbe, Lorraine Overton, Sue Brogden and Helen Johnston, who provided feedback to assist with ongoing development and evaluation of the project. We would also like to thank Country Education Foundation of Australia CEO Sarah Taylor for her assistance with reviewing the survey document and promoting the survey to her students and the University of South Australia Student Association, and the student ambassadors who also assisted with the promotion of the survey.</w:t>
      </w:r>
    </w:p>
    <w:p w:rsidR="00E82F18" w:rsidRDefault="00E82F18" w:rsidP="00E82F18">
      <w:r>
        <w:t>Finally, we appreciate the time given by the students at the University of South Australia to complete the survey and to those who also participated in interviews. The willingness to share personal information and to share often emotional stories of their journeys in higher education significantly enriched the qualitative data available for analysis.</w:t>
      </w:r>
    </w:p>
    <w:p w:rsidR="00E82F18" w:rsidRDefault="00E82F18" w:rsidP="00E82F18">
      <w:pPr>
        <w:pStyle w:val="Heading2"/>
      </w:pPr>
      <w:bookmarkStart w:id="5" w:name="_Toc517270255"/>
      <w:bookmarkStart w:id="6" w:name="_Toc517270318"/>
      <w:r>
        <w:t>Project Team</w:t>
      </w:r>
      <w:bookmarkEnd w:id="5"/>
      <w:bookmarkEnd w:id="6"/>
    </w:p>
    <w:p w:rsidR="000B5AC4" w:rsidRDefault="00E82F18" w:rsidP="00E82F18">
      <w:pPr>
        <w:pStyle w:val="Bullets"/>
      </w:pPr>
      <w:r>
        <w:t xml:space="preserve">Associate Professor Judy Nagy (Project Leader) </w:t>
      </w:r>
    </w:p>
    <w:p w:rsidR="00E82F18" w:rsidRDefault="00E82F18" w:rsidP="00E82F18">
      <w:pPr>
        <w:pStyle w:val="Bullets"/>
      </w:pPr>
      <w:r>
        <w:t>Dr Alice Lee (Research Fellow)</w:t>
      </w:r>
    </w:p>
    <w:p w:rsidR="00E82F18" w:rsidRDefault="00E82F18" w:rsidP="00E82F18">
      <w:pPr>
        <w:pStyle w:val="Bullets"/>
      </w:pPr>
      <w:r>
        <w:t>Ms Charmaine Graham (Research Assistant)</w:t>
      </w:r>
    </w:p>
    <w:p w:rsidR="00E82F18" w:rsidRDefault="00E82F18">
      <w:pPr>
        <w:spacing w:after="0"/>
        <w:rPr>
          <w:rFonts w:eastAsia="Times New Roman"/>
          <w:szCs w:val="24"/>
        </w:rPr>
      </w:pPr>
      <w:r>
        <w:br w:type="page"/>
      </w:r>
    </w:p>
    <w:p w:rsidR="00E82F18" w:rsidRDefault="00E82F18" w:rsidP="00E82F18">
      <w:pPr>
        <w:pStyle w:val="Heading1"/>
      </w:pPr>
      <w:bookmarkStart w:id="7" w:name="_Toc517270319"/>
      <w:r>
        <w:t>1. Executive Summary</w:t>
      </w:r>
      <w:bookmarkEnd w:id="7"/>
    </w:p>
    <w:p w:rsidR="00E82F18" w:rsidRDefault="00E82F18" w:rsidP="00E82F18">
      <w:pPr>
        <w:pStyle w:val="Quote"/>
      </w:pPr>
      <w:r>
        <w:t xml:space="preserve">It’s a lot harder for rural students than for people who grew up in the city. A lot of people I know still live with their parents, their parents are buying them textbooks and they’re not stressed about rent and buying their own food ... and finding a part-time job. Just the cost of moving here in the first place is difficult ... so, the more you can do to help us out the better. </w:t>
      </w:r>
      <w:r w:rsidRPr="00E82F18">
        <w:rPr>
          <w:i w:val="0"/>
        </w:rPr>
        <w:t>(Regional student interviewee)</w:t>
      </w:r>
    </w:p>
    <w:p w:rsidR="00E82F18" w:rsidRDefault="00E82F18" w:rsidP="00E82F18">
      <w:r>
        <w:t>Higher education qualifications and an educated populace are symbolic tools for economic prosperity and for social equity for both individuals and society in Australia. Widening participation in such prosperity through education has long been an Australian Government objective, with the Whitlam Government policies of the mid 1970s instigating the pathway for progressive reforms in higher education aspiring to greater equity in access and participation. In particular, a group identified as socioeconomically disadvantaged, representing 25% of the nation’s population (the lowest quartile of the population based on Australian Bureau of Statistics Index of Education and Occupation), is the target for widening participation. This broad group includes Indigenous Australians, those from low socioeconomic status (SES) backgrounds, from non-English speaking backgrounds, those with a disability, people from regional and remote areas and, since 1990, women in non-traditional fields of education. This report, however, is concerned only with one of these sub groups, regional and remote students, where despite government efforts the percentage of such students participating in higher education has not changed significantly over time, hovering around 19-20%, with the participation rate in higher education by the overall population standing at 35% in 2013.</w:t>
      </w:r>
      <w:r>
        <w:rPr>
          <w:rStyle w:val="FootnoteReference"/>
        </w:rPr>
        <w:footnoteReference w:id="1"/>
      </w:r>
    </w:p>
    <w:p w:rsidR="00E82F18" w:rsidRDefault="00E82F18" w:rsidP="00E82F18">
      <w:r>
        <w:t xml:space="preserve">To date there has been a paucity of detailed evidence about the financial circumstances of regional students in Australian higher education. As noted by Geoffrey Blainey in his classic study of Australian history, </w:t>
      </w:r>
      <w:r w:rsidRPr="0066202E">
        <w:rPr>
          <w:i/>
        </w:rPr>
        <w:t xml:space="preserve">The Tyranny of Distance </w:t>
      </w:r>
      <w:r>
        <w:t>(1967), distance and isolation are significant challenges for regional populations, with the ability to access education generally and higher education specifically, still being impacted by these same variables many years later, despite significant developments in technology. While there have been national studies examining the challenges faced generally by tertiary students, any research on participation in higher education by regional students and the factors that influence and contribute to their financial circumstances, has been limited. This report in part addresses this evidence gap through a methodology that captures the whole regional student population for a particular university, the University of South Australia, through a survey instrument and personal in-depth interviews. The survey design was informed by a stakeholder consultation process that included regional students and was refined using feedback from a small pilot study. Findings and recommendations provide some valuable institutional insights that may be used for policy planning.</w:t>
      </w:r>
    </w:p>
    <w:p w:rsidR="00E82F18" w:rsidRDefault="00E82F18" w:rsidP="00E82F18">
      <w:r>
        <w:t>One of the key contributions of this research has been the provision of data that is multi-layered and allows for the breakdown of regional students into clearer demographic groups, with income and expenses linked to the groupings. Previous studies with a subsection for regional students implied that regional students were one homogenous group and provided little clarity about student demographics or specific circumstances impacting student financial wellbeing. Findings include commencing and continuing students and are presented using the general boundaries that are present within current government policy and student support frameworks to provide clear pathways for implementation of new policy initiatives that may emerge. Policies that are specific to a target group can be more effectively constructed and are more likely to achieve desired outcomes. The most significant support mechanisms provided by government for students are Youth Allowance (YA) and Austudy, and these are delineated by age. The focus of this study, therefore, is on regional students aged under 25 and those aged 25 years and over, using relocation and non-relocation to pursue higher education, as income and expense drivers for data analysis.</w:t>
      </w:r>
    </w:p>
    <w:p w:rsidR="00E82F18" w:rsidRDefault="00E82F18" w:rsidP="00E82F18">
      <w:r>
        <w:t>The approach taken has highlighted that, particularly for relocating students, the interplay between family, personal, community and locational factors has direct and indirect impacts on finances that are complex. There is also an underlying presumption that newly independent students have the skills and capabilities to manage the interplay between factors and to effectively prioritise competing demands of daily living, recreating support networks and study obligations. Expenditure evidence suggests that choices may not always reflect a balanced approach and this is reflected in higher stress levels. While all students commencing higher education undergo a significant adjustment process, as previously reported by Baik et al (2014, p. 5) in their study of first year students, ‘for a large proportion of students from regional and remote backgrounds financial consideration were frequently a source of stress’. For students in any age group that relocate for higher education stress levels are higher than those who do not relocate and this study suggests that stress levels are rising.</w:t>
      </w:r>
    </w:p>
    <w:p w:rsidR="00E82F18" w:rsidRDefault="00E82F18" w:rsidP="00E82F18">
      <w:pPr>
        <w:pStyle w:val="Heading2"/>
      </w:pPr>
      <w:bookmarkStart w:id="8" w:name="_Toc517270257"/>
      <w:bookmarkStart w:id="9" w:name="_Toc517270320"/>
      <w:r>
        <w:t>Students Under 25 – 60% of Respondents</w:t>
      </w:r>
      <w:bookmarkEnd w:id="8"/>
      <w:bookmarkEnd w:id="9"/>
    </w:p>
    <w:p w:rsidR="00E82F18" w:rsidRDefault="00E82F18" w:rsidP="00E82F18">
      <w:r>
        <w:t xml:space="preserve">The demographic profile of respondents to the survey instrument shows that 82% of students aged under 25 have relocated to undertake higher education. These students are mostly single with no children and 46.7 % of these students receive Youth Allowance. The process of leaving rural towns to study in a city with a different cultural milieu, and the need to learn new life skills, results in relocating regional students being ‘independent’ regardless of their Youth Allowance status. There are layers of tensions that come into play as a consequence of being disconnected from family support structures and the need to build new networks for sporting, </w:t>
      </w:r>
      <w:r w:rsidR="00916389">
        <w:t xml:space="preserve">social and learning activities. </w:t>
      </w:r>
      <w:r>
        <w:t>The emergence of travel time and expense on financial circumstances is both significant and difficult to quantify as students need time and funds to participate in social, sporting and work commitments in addition to study obligations.</w:t>
      </w:r>
    </w:p>
    <w:p w:rsidR="00E82F18" w:rsidRDefault="00E82F18" w:rsidP="00E82F18">
      <w:r>
        <w:t>Relocating students aged under 25 also report that they have difficulty finding employment that is flexible enough for them to rebuild networks, and that employers prefer less expensive teenage labour. For those relocating students on dependent Youth Allowance (where parental income and assets are assessed for qualification) the relationship between income and expenditure suggests they are living beyond their means. The role of scholarships in bridging that gap is considered very important, with approximately one quarter of students receiving some form of scholarship. Students also report stressful relationships with government support mechanisms where timelines for applying and subsequently receiving support payments added to transitional challenges.</w:t>
      </w:r>
    </w:p>
    <w:p w:rsidR="00E82F18" w:rsidRDefault="00E82F18" w:rsidP="00E82F18">
      <w:pPr>
        <w:pStyle w:val="Heading2"/>
      </w:pPr>
      <w:bookmarkStart w:id="10" w:name="_Toc517270258"/>
      <w:bookmarkStart w:id="11" w:name="_Toc517270321"/>
      <w:r>
        <w:t>Students 25 Years and Over – 38% of Respondents</w:t>
      </w:r>
      <w:bookmarkEnd w:id="10"/>
      <w:bookmarkEnd w:id="11"/>
    </w:p>
    <w:p w:rsidR="00E82F18" w:rsidRDefault="00E82F18" w:rsidP="00E82F18">
      <w:r>
        <w:t>In this age group only 10.8% of students have relocated for study purposes with the same percentage receiving Austudy or Abstudy. This older demographic reported that 64.5% had carer responsibilities, 73.2% cohabited with income levels that precluded qualification for government support and 46.1% of students studied part time. Income and expenses figures are somewhat clouded by partner/family income and expenditures influences.</w:t>
      </w:r>
    </w:p>
    <w:p w:rsidR="00E82F18" w:rsidRDefault="00E82F18" w:rsidP="00E82F18">
      <w:r>
        <w:t>Those in the 25 years and over age group generally reported being more stressed than younger counterparts with interview data providing insights about stress influences. One contributing factor highlighted is the travel associated with the use of blended learning options. While blended learning options often mean students don’t need to relocate to participate in higher education, obligations to travel and attend compulsory professional practice workshops involve</w:t>
      </w:r>
      <w:r w:rsidR="00916389">
        <w:t xml:space="preserve"> significant financial outlays. </w:t>
      </w:r>
      <w:r>
        <w:t>For each compulsory workshop the costs of travel and living for stays of up to a week add to normal living expenses with child care and lost casual employment hour</w:t>
      </w:r>
      <w:r w:rsidR="00916389">
        <w:t xml:space="preserve">s bringing additional expenses. </w:t>
      </w:r>
      <w:r>
        <w:t>These costs are in addition to any placement commitments that are required for professional accreditation. Blended learning reflects a positive paradigm change in learning and as this phenomena is likely to continue to increase over time and alleviating cost burdens for regional students is an area where universities can provide additional student support.</w:t>
      </w:r>
    </w:p>
    <w:p w:rsidR="00E82F18" w:rsidRDefault="00916389" w:rsidP="00916389">
      <w:pPr>
        <w:pStyle w:val="Heading2"/>
      </w:pPr>
      <w:bookmarkStart w:id="12" w:name="_Toc517270259"/>
      <w:bookmarkStart w:id="13" w:name="_Toc517270322"/>
      <w:r>
        <w:t>Findings and Recommendations</w:t>
      </w:r>
      <w:bookmarkEnd w:id="12"/>
      <w:bookmarkEnd w:id="13"/>
    </w:p>
    <w:p w:rsidR="00E82F18" w:rsidRDefault="00E82F18" w:rsidP="00E82F18">
      <w:r>
        <w:t>This project has utilised the Australian Statistical Geographical Standard (ASGS) to determine which students would be included in the sample populations. However, mapping regionality over time is complicated due to inconsistencies in data, with changing classifications and new areas being added to classifications. These changes impede the comparability of data across time and between research studies. Current determinations of rurality can also generate outcomes that may be inequitable and would bene</w:t>
      </w:r>
      <w:r w:rsidR="00916389">
        <w:t>fit from contextual refinement.</w:t>
      </w:r>
    </w:p>
    <w:p w:rsidR="00E82F18" w:rsidRDefault="00916389" w:rsidP="00916389">
      <w:pPr>
        <w:ind w:left="720"/>
      </w:pPr>
      <w:r w:rsidRPr="00916389">
        <w:rPr>
          <w:b/>
        </w:rPr>
        <w:t>Recommendation 1 (section 2.5)</w:t>
      </w:r>
      <w:r>
        <w:br/>
      </w:r>
      <w:r w:rsidR="00E82F18">
        <w:t>It is suggested that a new higher education rural mapping system be established to enable rural student home addresses to be mapped to their applicable university campus, thereby providing a more consistent method at the national level that will determine eligibility for various government and universit</w:t>
      </w:r>
      <w:r>
        <w:t>y financial support mechanisms.</w:t>
      </w:r>
    </w:p>
    <w:p w:rsidR="00E82F18" w:rsidRDefault="00916389" w:rsidP="00916389">
      <w:pPr>
        <w:ind w:left="720"/>
      </w:pPr>
      <w:r w:rsidRPr="00916389">
        <w:rPr>
          <w:b/>
        </w:rPr>
        <w:t>Recommendation 2 (section 2.5)</w:t>
      </w:r>
      <w:r>
        <w:br/>
      </w:r>
      <w:r w:rsidR="00E82F18">
        <w:t>Should the system suggested in recommendation 1 be developed the definition of ‘inner regional’ should preclude distances of 50km or less between the proximity of a student’s rural home address and their primary university campus.</w:t>
      </w:r>
    </w:p>
    <w:p w:rsidR="00E82F18" w:rsidRDefault="00E82F18" w:rsidP="00E82F18">
      <w:r>
        <w:t>Students reported that they had difficulties understanding government requirements concerning eligibility, special allowances and timing for receiving government allowances and this contributed significantly to transitional stress.</w:t>
      </w:r>
    </w:p>
    <w:p w:rsidR="00E82F18" w:rsidRDefault="00E82F18" w:rsidP="00916389">
      <w:pPr>
        <w:ind w:left="720"/>
      </w:pPr>
      <w:r w:rsidRPr="00916389">
        <w:rPr>
          <w:b/>
        </w:rPr>
        <w:t>Recommendation 3 (section 3.1)</w:t>
      </w:r>
      <w:r w:rsidR="00916389">
        <w:br/>
      </w:r>
      <w:r>
        <w:t>A gap currently exists in relation to the communication of information in relation to the documentary process and the timing for applications for government allowance. Centrelink and the sector to consider revising the communication flow to students.</w:t>
      </w:r>
    </w:p>
    <w:p w:rsidR="00E82F18" w:rsidRDefault="00E82F18" w:rsidP="00E82F18">
      <w:r>
        <w:t>Student survey results show that transport costs represent a significant cost burden on a daily basis with relocating students visiting home a number of times each year adding to transportation costs. Students have identified they would like to visit their home based support networks more often and cannot afford to do so.</w:t>
      </w:r>
    </w:p>
    <w:p w:rsidR="00E82F18" w:rsidRDefault="00916389" w:rsidP="00916389">
      <w:pPr>
        <w:ind w:left="720"/>
      </w:pPr>
      <w:r w:rsidRPr="00916389">
        <w:rPr>
          <w:b/>
        </w:rPr>
        <w:t>Recommendation 4 (section 3.7)</w:t>
      </w:r>
      <w:r>
        <w:br/>
      </w:r>
      <w:r w:rsidR="00E82F18">
        <w:t>In the situations where transport costs represent a significant cost burden on a daily basis - to further explore - what provisions and mechanisms could be identified and easily implemented.</w:t>
      </w:r>
    </w:p>
    <w:p w:rsidR="00E82F18" w:rsidRDefault="00E82F18" w:rsidP="00E82F18">
      <w:r>
        <w:t>Technology mediated blended learning study options often mean that regional student do not need to relocate to participate in higher education. However, this study has highlighted the emergence of short term relocation expenses to attend compulsory professional practice workshops as a source of financial pressure. Expensive short term accommodation, lost income from casual employment and the need to pay for child care can add significantly to financial pressures.</w:t>
      </w:r>
    </w:p>
    <w:p w:rsidR="00E82F18" w:rsidRDefault="00916389" w:rsidP="00916389">
      <w:pPr>
        <w:ind w:left="720"/>
      </w:pPr>
      <w:r w:rsidRPr="00916389">
        <w:rPr>
          <w:b/>
        </w:rPr>
        <w:t>Recommendation 5 (section 4.4)</w:t>
      </w:r>
      <w:r>
        <w:br/>
      </w:r>
      <w:r w:rsidR="00E82F18">
        <w:t>Universities to consider the most efficient process for regional students attending professional practice workshops.</w:t>
      </w:r>
    </w:p>
    <w:p w:rsidR="00E82F18" w:rsidRDefault="00E82F18" w:rsidP="00E82F18">
      <w:r>
        <w:t>Relocating regional students undergo the greatest transitional challenges when they move away from established support networks. To assist the process of adaptation, there is a need to create a means for regional students to connect, form new friendships and share resources.</w:t>
      </w:r>
    </w:p>
    <w:p w:rsidR="00E82F18" w:rsidRDefault="00916389" w:rsidP="00916389">
      <w:pPr>
        <w:ind w:left="720"/>
      </w:pPr>
      <w:r w:rsidRPr="00916389">
        <w:rPr>
          <w:b/>
        </w:rPr>
        <w:t>Recommendation 6 (section 4.8)</w:t>
      </w:r>
      <w:r>
        <w:br/>
      </w:r>
      <w:r w:rsidR="00E82F18">
        <w:t>Universities to consider how best to assist regional students’ transition to university and sense of connection with university life.</w:t>
      </w:r>
    </w:p>
    <w:p w:rsidR="00916389" w:rsidRDefault="00916389">
      <w:pPr>
        <w:spacing w:after="0"/>
      </w:pPr>
      <w:r>
        <w:br w:type="page"/>
      </w:r>
    </w:p>
    <w:p w:rsidR="00916389" w:rsidRDefault="00916389" w:rsidP="00916389">
      <w:pPr>
        <w:pStyle w:val="Heading1"/>
      </w:pPr>
      <w:bookmarkStart w:id="14" w:name="_Toc517270323"/>
      <w:r>
        <w:t>2. Background and Context</w:t>
      </w:r>
      <w:bookmarkEnd w:id="14"/>
    </w:p>
    <w:p w:rsidR="00916389" w:rsidRDefault="00916389" w:rsidP="00916389">
      <w:pPr>
        <w:pStyle w:val="Heading2"/>
      </w:pPr>
      <w:bookmarkStart w:id="15" w:name="_Toc517270324"/>
      <w:r>
        <w:t>2.1 Background</w:t>
      </w:r>
      <w:bookmarkEnd w:id="15"/>
    </w:p>
    <w:p w:rsidR="00E82F18" w:rsidRDefault="00E82F18" w:rsidP="00E82F18">
      <w:r>
        <w:t xml:space="preserve">Life as a university student is often synonymous with ‘surviving’ on minimal income and having to ‘make ends meet’. Yet findings </w:t>
      </w:r>
      <w:r w:rsidR="00916389">
        <w:t>from the Universities Australia</w:t>
      </w:r>
      <w:r w:rsidR="00916389">
        <w:rPr>
          <w:rStyle w:val="FootnoteReference"/>
        </w:rPr>
        <w:footnoteReference w:id="2"/>
      </w:r>
      <w:r>
        <w:t xml:space="preserve"> 2012 national study of domestic and international students indicate a ‘polarization between the “haves” and “have-nots”’ (Bexley et al. 2013, p. 7) with the financial situations of university students being far from homogenous (Bexley et al. 2013; Halliday-Wynes &amp; Nguyen 2014). Evidence from this study confirms that rural, regional and remote (‘regional’) students also lack homogeneity, with relocating and non-relocating students dealing with financial pressures whether they receive government support allowances or not.</w:t>
      </w:r>
    </w:p>
    <w:p w:rsidR="00B54DA0" w:rsidRDefault="00E82F18" w:rsidP="00B54DA0">
      <w:r>
        <w:t>The aspiration of widening higher education participation has been an Australian Government policy agenda for the last few decades, with the Australian Government’s 2008 review of the Australian higher education sector (Bradley et al. 2008) (known as the Bradley Review) arguably a significant catalyst in more recent years. In response to the Bradley Review, a number of equity based</w:t>
      </w:r>
      <w:r w:rsidR="00B54DA0">
        <w:t xml:space="preserve"> initiatives have been introduced (for example, Higher Education Participation and Partnerships Programs, Higher Education Disability Support Program, Indigenous Support Program, Commonwealth Scholarships Program and Regional Loading) that have either sought to understand the broad range of barriers and enablers to participation, or have provided specific interventions. In addition, government support through Centrelink, Austudy, Abstudy and Youth Allowance have attempted to address financial issues through the provision of monetary support. The Grattan Institute has identified the costs of supporting financially disadvantaged students through student support policies in 2013–14. In particular, Youth Allowance in 2013–14 cost $2.1 billion for 170,900 students, $479 million for 31,800 students receiving Austudy and an estimated $47 million for 4200 Abstudy students (Norton &amp; Cherastidtham 2014, p. 48). While these government programs represent significant costs, they are needs-based schemes, with additional support available through merit-based institutional scholarships and other university support mechanisms.</w:t>
      </w:r>
    </w:p>
    <w:p w:rsidR="00B54DA0" w:rsidRDefault="00B54DA0" w:rsidP="00B54DA0">
      <w:r>
        <w:t xml:space="preserve">While government higher education student support policies are open to all students in financial need, this study focuses on regional student participation where, despite concerted effort, participation rates of regional students in higher education remains lower than for their metropolitan peers (Pagnini et al. 2014). The Australian Institute of Health and Welfare (AIHW) in </w:t>
      </w:r>
      <w:r w:rsidRPr="0066202E">
        <w:rPr>
          <w:i/>
        </w:rPr>
        <w:t>Towards a performance measurement framework for equity in higher education</w:t>
      </w:r>
      <w:r>
        <w:t xml:space="preserve"> (2014), provides the most recent evidence of regional student access and participation in higher education. The report shows that participation rates have marginally declined over the time period 2001–11 (p. 16) with further evidence indicating an even greater rate of decline in remote regions (Pagnini et al. 2014). Evidence suggests that participation rates are influenced by a complex mix of variables that include the lack of an aspirational culture perpetuated through communities and low parental educational attainment (Wilks &amp; Wilson 2012). It has also been reported that some regional communities believe that higher education generates no value to regional populations (Richardson &amp; Friedman 2010). The propensity for graduates to move away from regional communities for study and after graduation for employment would no doubt contribute to such viewpoints as the pursuit of employment often means moving away from regional communities.</w:t>
      </w:r>
    </w:p>
    <w:p w:rsidR="00B54DA0" w:rsidRDefault="00B54DA0" w:rsidP="00B54DA0">
      <w:r>
        <w:t>At a national level there have been numerous reports that have referred to financial matters as a major barrier to rural student access and participation rates for higher education. These include: Department of Industry, Innovation, Climate Change, Science, Research and Tertiary Education (2013),</w:t>
      </w:r>
      <w:r w:rsidRPr="00265F52">
        <w:rPr>
          <w:i/>
        </w:rPr>
        <w:t xml:space="preserve"> Moving to an Enhanced Indicator of Higher Education Students’ Socio-economic Status </w:t>
      </w:r>
      <w:r>
        <w:t xml:space="preserve">(discussion paper); Dow K.L. (2011), </w:t>
      </w:r>
      <w:r w:rsidRPr="00265F52">
        <w:rPr>
          <w:i/>
        </w:rPr>
        <w:t>Review of Student Income Support Reforms</w:t>
      </w:r>
      <w:r>
        <w:t xml:space="preserve"> (the Dow Report); Richardson, S. and Friedman, T. (2010),</w:t>
      </w:r>
      <w:r w:rsidRPr="00265F52">
        <w:rPr>
          <w:i/>
        </w:rPr>
        <w:t xml:space="preserve"> Australian Regional Higher Education: Student characteristics and experiences</w:t>
      </w:r>
      <w:r>
        <w:t xml:space="preserve">. Senate Rural and Regional Affairs and Transport References Committee (2009) </w:t>
      </w:r>
      <w:r w:rsidRPr="00265F52">
        <w:rPr>
          <w:i/>
        </w:rPr>
        <w:t>Rural and regional access to secondary and tertiary education opportunities</w:t>
      </w:r>
      <w:r>
        <w:t>. The Dow Report contributed to changes in government support mechanisms, including increases in Student Start-up Scholarships and the implementation of student Relocation Scholarships for students on income support. However, these initiatives are for those who qualify for support and there is an implied assumption that students who are not eligible for income support payments do not have challenging financial circumstances.</w:t>
      </w:r>
    </w:p>
    <w:p w:rsidR="00B54DA0" w:rsidRDefault="00B54DA0" w:rsidP="00B54DA0">
      <w:r>
        <w:t>One of the difficulties associated with ascertaining how government and institutional financial incentives impact regional student participation rates over time are the changes made to various grant and income support mechanisms in relatively short time frames. As various reports and studies identify issues that could address particular participation challenges, changes made to, for example, Youth Allowance and Austudy qualifying criteria, relocation incentives, scholarships and other support mechanisms over relatively short time frames, make data analysis and comparison with earlier research a challenge.</w:t>
      </w:r>
    </w:p>
    <w:p w:rsidR="00B54DA0" w:rsidRDefault="00B54DA0" w:rsidP="00B54DA0">
      <w:r>
        <w:t>A comprehensive study conducted by Godden (2007) provides insight into the situation of regional university students, reporting that it is ‘all the little things’ that affect participation, including distance, isolation, culture, identity, and family attitudes, combined with the biggest challenge: the high cost associated with studying away from home (p. 10). Godden’s (2007) study focused on university students aged 18 to 25 years, resulting in a gap of evidence surrounding the financial circumstances of older regional university students. With research indicating that regional students are more likely to be mature age (Baik, Naylor et al. 2015) and therefore more likely to enter university with pre-existing and competing demands associated with family commitments and work constraints, this adds a further layer of complexity to life as a student (Townsend 2010). Furthermore regional students are more likely to belong to other equity groups, with studies indicating that they are more likely to be Indigenous, be first in their family to attend university, and have a low socioeconomic status (Baik et al. 2015; Polesel 2009). This cumulative disadvantage provides partial explanation of the low participation rates in higher education; it is difficult, though, to isolate the factors that relate to each disadvantage.</w:t>
      </w:r>
    </w:p>
    <w:p w:rsidR="00B54DA0" w:rsidRDefault="00B54DA0" w:rsidP="00B54DA0">
      <w:r>
        <w:t>Whilst financial circumstances present a significant prohibitive factor in regional and remote students pursuing higher education (Wilks &amp; Wilson 2012), once at university, research indicates that financial pressures continue to influence and shape student experiences, impacting significantly on engagement with their studies (Halliday-Wynes &amp; Nguyen 2014). Although financial circumstances are not reported as a primary driver for regional and remote students deferring or withdrawing from university, closer analysis shows that the interwoven relationship between a lack of social support and the demands of juggling study and paid employment result in financial reasons playing an indirect but significant role in regional student attrition from university (Halliday-Wynes &amp; Nguyen 2014).</w:t>
      </w:r>
    </w:p>
    <w:p w:rsidR="00B54DA0" w:rsidRDefault="00B54DA0" w:rsidP="00B54DA0">
      <w:pPr>
        <w:pStyle w:val="Heading2"/>
      </w:pPr>
      <w:bookmarkStart w:id="16" w:name="_Toc517270325"/>
      <w:r>
        <w:t>2.2 Project Aims</w:t>
      </w:r>
      <w:bookmarkEnd w:id="16"/>
    </w:p>
    <w:p w:rsidR="00B54DA0" w:rsidRDefault="00B54DA0" w:rsidP="00B54DA0">
      <w:r>
        <w:t>The aim of this study is to address the evidence gap described above, by providing a representative data set of the financial circumstances for commencing, continuing, deferred and postgraduate regional and remote students studying at the University of South Australia. In response to recommendations made in an evaluative institutional study that surveyed a limited number of financially disadvantaged students qualifying for University Relocation Scholarships known as the Rural Reconnect Project (Bills 2012), this project is a larger institutional study that seeks to provide greater detail and clarity about the financial circumstances of all rural students. This broader study provides evidence across one institution and allows for comparison between the experiences of regional students who move away from home with those who study at regional campuses or online and who have not relocated. The focus is on student-sourced data rather than institutional data, thus providing a different perspective about regional student participation.</w:t>
      </w:r>
    </w:p>
    <w:p w:rsidR="00B54DA0" w:rsidRDefault="00B54DA0" w:rsidP="00B54DA0">
      <w:r>
        <w:t>Evidence obtained through a survey instrument and follow up interview data has produced a rich data set that allows for personal voices to supplement survey findings. The data set has been de- aggregated to reflect existing government support structures with further dissections focussing on student relocation status to increase data usability and allow for any planned responses to be more effectively targeted to particular sub groups.</w:t>
      </w:r>
    </w:p>
    <w:p w:rsidR="00B54DA0" w:rsidRDefault="00B54DA0" w:rsidP="00B54DA0">
      <w:r>
        <w:t>In order to effectively explore the full extent of those financial factors, there is a need to recognise that psychosocial elements are intrinsically linked to financial factors. While the causal links are difficult to isolate, literature identifies that the blend of personal, family, community, locational and other environmental factors in regional contexts impact financial circumstances in ways that make generalisation challenging. Through the recognition that cost goes beyond basic economics, this study also investigates a range of monetary and non-monetary factors, thereby gaining a greater understanding of the financial consequences that engaging in university studies has for rural and regional students.</w:t>
      </w:r>
    </w:p>
    <w:p w:rsidR="00E82F18" w:rsidRDefault="00B54DA0" w:rsidP="00B54DA0">
      <w:r>
        <w:t>Figure 1 provides a conceptual framework applicable to both the quantitative and qualitative components of the study. The framework demonstrates the interaction between multiple factors, with each cluster of factors being unique to individual students. Importantly, the modification of one cluster may impact other clusters, thereby changing both the magnitude and direction of influence.</w:t>
      </w:r>
    </w:p>
    <w:p w:rsidR="00B54DA0" w:rsidRDefault="00B54DA0" w:rsidP="00B54DA0">
      <w:r w:rsidRPr="00B54DA0">
        <w:t>Interview data has provided a layer of potency to survey results identifying that finances are impacted by a range of ‘push’ and ‘pull’ factors that act together to shape an individual students circumstances. In addressing the nominated evidence gap we acknowledge the complexities of generalising within this conceptual framework.</w:t>
      </w:r>
    </w:p>
    <w:p w:rsidR="00B54DA0" w:rsidRDefault="00B54DA0" w:rsidP="00B54DA0">
      <w:pPr>
        <w:pStyle w:val="Caption"/>
      </w:pPr>
    </w:p>
    <w:p w:rsidR="00B54DA0" w:rsidRDefault="00B54DA0" w:rsidP="00B54DA0">
      <w:pPr>
        <w:pStyle w:val="Caption"/>
      </w:pPr>
    </w:p>
    <w:p w:rsidR="00B54DA0" w:rsidRDefault="00B54DA0" w:rsidP="00B54DA0">
      <w:pPr>
        <w:pStyle w:val="Caption"/>
      </w:pPr>
    </w:p>
    <w:p w:rsidR="00B54DA0" w:rsidRDefault="00B54DA0" w:rsidP="00B54DA0">
      <w:pPr>
        <w:pStyle w:val="Caption"/>
      </w:pPr>
    </w:p>
    <w:p w:rsidR="00B54DA0" w:rsidRDefault="00B54DA0" w:rsidP="00B54DA0">
      <w:pPr>
        <w:pStyle w:val="Caption"/>
      </w:pPr>
    </w:p>
    <w:p w:rsidR="00B54DA0" w:rsidRDefault="00B54DA0" w:rsidP="00B54DA0">
      <w:pPr>
        <w:pStyle w:val="Caption"/>
      </w:pPr>
      <w:r>
        <w:rPr>
          <w:noProof/>
          <w:lang w:eastAsia="en-AU"/>
        </w:rPr>
        <w:drawing>
          <wp:anchor distT="0" distB="0" distL="114300" distR="114300" simplePos="0" relativeHeight="251671552" behindDoc="0" locked="0" layoutInCell="1" allowOverlap="1">
            <wp:simplePos x="0" y="0"/>
            <wp:positionH relativeFrom="column">
              <wp:posOffset>1276350</wp:posOffset>
            </wp:positionH>
            <wp:positionV relativeFrom="paragraph">
              <wp:posOffset>0</wp:posOffset>
            </wp:positionV>
            <wp:extent cx="3105150" cy="2825750"/>
            <wp:effectExtent l="0" t="0" r="0" b="0"/>
            <wp:wrapSquare wrapText="bothSides"/>
            <wp:docPr id="8" name="Picture 8" descr="Conceptual framework of factors impacting rural and regional students, illustrated using coloured cogs labeled 'Community', 'Personal', 'Family', 'Location' and 'Financial situation'."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d.jpg"/>
                    <pic:cNvPicPr/>
                  </pic:nvPicPr>
                  <pic:blipFill>
                    <a:blip r:embed="rId10">
                      <a:extLst>
                        <a:ext uri="{28A0092B-C50C-407E-A947-70E740481C1C}">
                          <a14:useLocalDpi xmlns:a14="http://schemas.microsoft.com/office/drawing/2010/main" val="0"/>
                        </a:ext>
                      </a:extLst>
                    </a:blip>
                    <a:stretch>
                      <a:fillRect/>
                    </a:stretch>
                  </pic:blipFill>
                  <pic:spPr>
                    <a:xfrm>
                      <a:off x="0" y="0"/>
                      <a:ext cx="3105150" cy="2825750"/>
                    </a:xfrm>
                    <a:prstGeom prst="rect">
                      <a:avLst/>
                    </a:prstGeom>
                  </pic:spPr>
                </pic:pic>
              </a:graphicData>
            </a:graphic>
            <wp14:sizeRelH relativeFrom="page">
              <wp14:pctWidth>0</wp14:pctWidth>
            </wp14:sizeRelH>
            <wp14:sizeRelV relativeFrom="page">
              <wp14:pctHeight>0</wp14:pctHeight>
            </wp14:sizeRelV>
          </wp:anchor>
        </w:drawing>
      </w:r>
    </w:p>
    <w:p w:rsidR="00B54DA0" w:rsidRDefault="00B54DA0" w:rsidP="00B54DA0">
      <w:pPr>
        <w:pStyle w:val="Caption"/>
      </w:pPr>
    </w:p>
    <w:p w:rsidR="00B54DA0" w:rsidRDefault="00B54DA0" w:rsidP="00B54DA0">
      <w:pPr>
        <w:pStyle w:val="Caption"/>
      </w:pPr>
    </w:p>
    <w:p w:rsidR="00B54DA0" w:rsidRDefault="00B54DA0" w:rsidP="00B54DA0">
      <w:pPr>
        <w:pStyle w:val="Caption"/>
      </w:pPr>
    </w:p>
    <w:p w:rsidR="00B54DA0" w:rsidRDefault="00B54DA0" w:rsidP="00B54DA0">
      <w:pPr>
        <w:pStyle w:val="Caption"/>
      </w:pPr>
    </w:p>
    <w:p w:rsidR="00B54DA0" w:rsidRDefault="00B54DA0" w:rsidP="00B54DA0">
      <w:pPr>
        <w:pStyle w:val="Caption"/>
      </w:pPr>
    </w:p>
    <w:p w:rsidR="00B54DA0" w:rsidRDefault="00B54DA0" w:rsidP="00B54DA0">
      <w:pPr>
        <w:pStyle w:val="Caption"/>
      </w:pPr>
    </w:p>
    <w:p w:rsidR="00B54DA0" w:rsidRDefault="00B54DA0" w:rsidP="00B54DA0">
      <w:pPr>
        <w:pStyle w:val="Caption"/>
      </w:pPr>
    </w:p>
    <w:p w:rsidR="00B54DA0" w:rsidRDefault="00B54DA0" w:rsidP="00B54DA0">
      <w:pPr>
        <w:pStyle w:val="Caption"/>
      </w:pPr>
    </w:p>
    <w:p w:rsidR="00B54DA0" w:rsidRDefault="00B54DA0" w:rsidP="00B54DA0">
      <w:pPr>
        <w:pStyle w:val="Caption"/>
      </w:pPr>
    </w:p>
    <w:p w:rsidR="00B54DA0" w:rsidRDefault="00B54DA0" w:rsidP="00B54DA0">
      <w:pPr>
        <w:pStyle w:val="Caption"/>
      </w:pPr>
    </w:p>
    <w:p w:rsidR="00B54DA0" w:rsidRPr="00241FE6" w:rsidRDefault="00B54DA0" w:rsidP="00B54DA0">
      <w:pPr>
        <w:pStyle w:val="FigureTitles"/>
        <w:rPr>
          <w:rFonts w:eastAsia="Calibri"/>
          <w:noProof/>
          <w:sz w:val="24"/>
        </w:rPr>
      </w:pPr>
      <w:bookmarkStart w:id="17" w:name="_Toc517270575"/>
      <w:r>
        <w:t xml:space="preserve">Figure </w:t>
      </w:r>
      <w:fldSimple w:instr=" SEQ Figure \* ARABIC ">
        <w:r w:rsidR="00B00AA1">
          <w:rPr>
            <w:noProof/>
          </w:rPr>
          <w:t>1</w:t>
        </w:r>
      </w:fldSimple>
      <w:r>
        <w:t>:</w:t>
      </w:r>
      <w:r w:rsidRPr="00DB2CE8">
        <w:t xml:space="preserve"> Conceptual framework of factors impacting rural and regional students</w:t>
      </w:r>
      <w:bookmarkEnd w:id="17"/>
    </w:p>
    <w:p w:rsidR="00B54DA0" w:rsidRDefault="00B54DA0" w:rsidP="00B54DA0"/>
    <w:p w:rsidR="00B54DA0" w:rsidRDefault="00B54DA0" w:rsidP="00B54DA0">
      <w:pPr>
        <w:pStyle w:val="Heading2"/>
      </w:pPr>
      <w:bookmarkStart w:id="18" w:name="_Toc517270326"/>
      <w:r>
        <w:t>2.3 Research Site</w:t>
      </w:r>
      <w:bookmarkEnd w:id="18"/>
    </w:p>
    <w:p w:rsidR="00B54DA0" w:rsidRDefault="00B54DA0" w:rsidP="00B54DA0">
      <w:r>
        <w:t>The University of South Australia (UniSA) is South Australia’s largest university, comprising four metropolitan campuses and two regional campuses at Whyalla and Mount Gambier. The University is committed to providing equitable access to higher education for all sectors of the community and this commitment is incorporated in the University’s Act (the University of South Australia Act 1990).</w:t>
      </w:r>
    </w:p>
    <w:p w:rsidR="00B54DA0" w:rsidRDefault="00B54DA0" w:rsidP="00B54DA0">
      <w:r>
        <w:t>Students at metropolitan campuses have the choice of studying on campus using blended modes of delivery for a comprehensive range of programs. There is an increasing range of online programs allowing students to study from any location; however, such programs may require attendance on campus for professional practice workshops.</w:t>
      </w:r>
    </w:p>
    <w:p w:rsidR="00B54DA0" w:rsidRDefault="00B54DA0" w:rsidP="00B54DA0">
      <w:r>
        <w:t>The two UniSA regional campuses are located in regional cities with populations of approximately 25,000–28,000 in the immediate city boundaries and students are also drawn from a broader hinterland, often necessitating significant travel. While the combined student numbers at these regional locations are approximately 500 students in programs that include Nursing, Social Work, Education (Early Childhood), Education (Primary) Mechanical Engineering and Foundation Studies, the number of programs being offered at these locations is growing. Students at regional campuses have traditionally studied on campus, with blended delivery modes, and the campuses are increasingly providing support for online students and intensive study options.</w:t>
      </w:r>
    </w:p>
    <w:p w:rsidR="00B54DA0" w:rsidRDefault="00B54DA0" w:rsidP="00B54DA0">
      <w:r>
        <w:t>UniSA has a clear strategic priority for fostering ‘Education beyond the City’, highlighted in the University’s</w:t>
      </w:r>
      <w:r w:rsidRPr="00265F52">
        <w:rPr>
          <w:i/>
        </w:rPr>
        <w:t xml:space="preserve"> Crossing the Horizon 2013–2018</w:t>
      </w:r>
      <w:r>
        <w:t xml:space="preserve"> Strategic Plan with a commitment to three new regional learning hubs. In regions, there has been a tertiary institution in Whyalla since 1965 and this became part of UniSA 25 years ago. The more recent Mount Gambier campus commenced in 2005 and has benefitted from two allocations of federal government tertiary infrastructure funding, with new technology-driven facilities opening early in 2016 to enrich the student learning experience.</w:t>
      </w:r>
    </w:p>
    <w:p w:rsidR="00B54DA0" w:rsidRDefault="00B54DA0" w:rsidP="00B54DA0">
      <w:r>
        <w:t>The University has a long history of engagement with programs that engage with communities in South Australia, with high concentrations of families from low SES backgrounds. Key strategies have encouraged greater participation in higher education from these areas. Strategies have included:</w:t>
      </w:r>
    </w:p>
    <w:p w:rsidR="00B54DA0" w:rsidRDefault="00B54DA0" w:rsidP="00B54DA0">
      <w:pPr>
        <w:pStyle w:val="Bullets"/>
      </w:pPr>
      <w:r>
        <w:t>In 2002 federal government funding was received for The University Northern Adelaide Project (UNAP), where there are high proportions of low SES families, to promote education, skills development and improved relationships between schools, businesses, and the community encouraging participation in higher education.</w:t>
      </w:r>
    </w:p>
    <w:p w:rsidR="00B54DA0" w:rsidRDefault="00B54DA0" w:rsidP="00B54DA0">
      <w:pPr>
        <w:pStyle w:val="Bullets"/>
      </w:pPr>
      <w:r>
        <w:t>More recently the creation of UniSA College (established in 2011) has provided new pathways to higher education, again targeting low SES and Indigenous families, through a combination of academic and community engagement programs.</w:t>
      </w:r>
    </w:p>
    <w:p w:rsidR="00B54DA0" w:rsidRDefault="00B54DA0" w:rsidP="00B54DA0">
      <w:pPr>
        <w:pStyle w:val="Bullets"/>
      </w:pPr>
      <w:r>
        <w:t>The University’s Rural Reconnect project is a five-year pilot project designed to encourage greater participation, retention and achievement of rural and remote students in higher education, established in 2009. The project provides assistance for rural students through five initiatives as outlined in Bills (2012): scholarships for students in the first year at university; professional placement grants for rural students undertaking experiential learning in a rural district; implementation of communication strategies to ‘stay in touch’ with deferring rural students; a mentoring program for first year rural students; and an orientation to university program for Year 10 rural students.</w:t>
      </w:r>
    </w:p>
    <w:p w:rsidR="00B54DA0" w:rsidRDefault="00B54DA0" w:rsidP="00B54DA0">
      <w:pPr>
        <w:pStyle w:val="Bullets"/>
      </w:pPr>
      <w:r>
        <w:t>In addition, UniSA, and other universities employ a number of strategies to encourage regional student participation. Examples include equity scholarships; bonus ATAR points for students from underrepresented, regional or remote schools; school outreach programs; employment and accommodation services; and various financial grants.</w:t>
      </w:r>
    </w:p>
    <w:p w:rsidR="00B54DA0" w:rsidRDefault="00862133" w:rsidP="00862133">
      <w:pPr>
        <w:pStyle w:val="Heading2"/>
      </w:pPr>
      <w:bookmarkStart w:id="19" w:name="_Toc517270327"/>
      <w:r>
        <w:t>2.4 Research Methodology</w:t>
      </w:r>
      <w:bookmarkEnd w:id="19"/>
    </w:p>
    <w:p w:rsidR="00B54DA0" w:rsidRDefault="00B54DA0" w:rsidP="00B54DA0">
      <w:r>
        <w:t>The methodological approach deployed by this study was a mixed method design, incorporating qualitative and quantitative data gathered through survey and interview techniques. The survey design was informed by a stakeholder consultation process that included regional students and was refined using feedback from a small pilot study. The survey collected demographic data from which relocation status was used to drive the statistical analysis for the income and expense data provided. Survey evidence also informed the process of determining interview questions for in-depth interviews.</w:t>
      </w:r>
    </w:p>
    <w:p w:rsidR="00B54DA0" w:rsidRDefault="00B54DA0" w:rsidP="00B54DA0">
      <w:r>
        <w:t>Quantitative data was collected using an online survey, and consisted of a combination of 5-point Likert scale, multiple choice and open-ended questions. The online survey was open for a four-week period between 21 July 2015 and 20 August 2015. Consideration was given to survey timing to ensure that participation was maximised by avoiding semester break and exam periods. All students attending UniSA who had either: relocated from a rural, regional or remote location for the purposes of study; were currently studying at a regional campus; who had deferred or were studying online and lived in a rural, regional or remote location; or commuted from a regional location, were invited to participate in the survey. A total of 759 respondents (17% of regional and remote students studying at UniSA) commenced the survey, however the analysis process identified a number of respondents who were ineligible or failed to complete a large proportion of the survey, so were subsequently removed from the data sample. The result was a total of 607 responses (14% of regional and remote students studying at UniSA) included in the data analysis, including those respondents who partially completed at least half of the survey questions. This compares favourably with the most recent survey of the finances of all Australian university students in the Australian University Student Finances Survey 2012, which also had a response rate of 14%.</w:t>
      </w:r>
    </w:p>
    <w:p w:rsidR="00B54DA0" w:rsidRDefault="00B54DA0" w:rsidP="00B54DA0">
      <w:r>
        <w:t>Qualitative data was collected through 30 minute semi-structured face-to-face interviews with interview questions informed by preliminary survey findings. A total of 258 survey participants volunteered to be involved in the interview process, of which a representative sample of 37 interviewees was selected based on participant age, gender, field of study, level of study, campus location and study mode. The diversity of the participants reflects that of their rural communities, personal circumstances and the broader student population base. Interviews were conducted over a four-week period across September and October 2015, incorporating a two-week semester break.</w:t>
      </w:r>
    </w:p>
    <w:p w:rsidR="00B54DA0" w:rsidRDefault="00B54DA0" w:rsidP="00B54DA0">
      <w:r>
        <w:t>Interviews were tape recorded, transcribed and thematically analysed to determine emergent patterns. The result is a discourse of personal experiences that adds a rich dimension to the quantitative data.</w:t>
      </w:r>
    </w:p>
    <w:p w:rsidR="00B54DA0" w:rsidRDefault="00862133" w:rsidP="0038221D">
      <w:pPr>
        <w:pStyle w:val="Heading2"/>
      </w:pPr>
      <w:bookmarkStart w:id="20" w:name="_Toc517270328"/>
      <w:r>
        <w:t>2.5 Defining Rurality</w:t>
      </w:r>
      <w:bookmarkEnd w:id="20"/>
    </w:p>
    <w:p w:rsidR="00B54DA0" w:rsidRDefault="00B54DA0" w:rsidP="00B54DA0">
      <w:r>
        <w:t>There is a broad consensus within literature that sweeping policies and/or statements pertaining to ‘rurality’ fail to recognise the extraordinary diversity amongst rural localities, including differences between population size, accessibility to services, natural surrounds, human capital and economic resources (Alston &amp; Kent 2009). Defining ‘rurality’ is thus a complex issue with significant implications for comparability of outcomes between research stu</w:t>
      </w:r>
      <w:r w:rsidR="00862133">
        <w:t xml:space="preserve">dies. Kemp and Norton (2014, p. 41) </w:t>
      </w:r>
      <w:r>
        <w:t>came up against such challenges, noting that ‘Calculating trends in regional and remote student numbers is complicated by changing classifications of areas. New classifications introduced by the Australian Bureau of Statistics in 2011 give higher numbers than the p</w:t>
      </w:r>
      <w:r w:rsidR="00862133">
        <w:t xml:space="preserve">reviously used definition. This </w:t>
      </w:r>
      <w:r>
        <w:t>analysis uses the earlier definition to see longer-term trends.’ The importance of trend data to the review meant usage of an older classification system for their report.</w:t>
      </w:r>
    </w:p>
    <w:p w:rsidR="00B54DA0" w:rsidRDefault="00B54DA0" w:rsidP="00B54DA0">
      <w:r>
        <w:t>Remoteness is a common measurement of rurality used in Australian research (Alston &amp; Kent 2009; Baik et al. 2015) and provides the ratio</w:t>
      </w:r>
      <w:r w:rsidR="00862133">
        <w:t>nalisation and legal foundation</w:t>
      </w:r>
      <w:r w:rsidR="00862133">
        <w:rPr>
          <w:rStyle w:val="FootnoteReference"/>
        </w:rPr>
        <w:footnoteReference w:id="3"/>
      </w:r>
      <w:r>
        <w:t xml:space="preserve"> for a number of government policies, including payment of government allowances such as the Relocation Scholarship. The Australian Statistical Geographical Standard (ASGS) classifies localities based on remoteness into the following five categories (displayed in Figure 2) (ABS 2011):</w:t>
      </w:r>
    </w:p>
    <w:p w:rsidR="00B54DA0" w:rsidRDefault="00B54DA0" w:rsidP="00862133">
      <w:pPr>
        <w:pStyle w:val="ListParagraph"/>
        <w:numPr>
          <w:ilvl w:val="0"/>
          <w:numId w:val="36"/>
        </w:numPr>
      </w:pPr>
      <w:r>
        <w:t>Major Cities of Australia</w:t>
      </w:r>
    </w:p>
    <w:p w:rsidR="00B54DA0" w:rsidRDefault="00B54DA0" w:rsidP="00862133">
      <w:pPr>
        <w:pStyle w:val="ListParagraph"/>
        <w:numPr>
          <w:ilvl w:val="0"/>
          <w:numId w:val="36"/>
        </w:numPr>
      </w:pPr>
      <w:r>
        <w:t>Inner Regional Australia</w:t>
      </w:r>
    </w:p>
    <w:p w:rsidR="00B54DA0" w:rsidRDefault="00B54DA0" w:rsidP="00862133">
      <w:pPr>
        <w:pStyle w:val="ListParagraph"/>
        <w:numPr>
          <w:ilvl w:val="0"/>
          <w:numId w:val="36"/>
        </w:numPr>
      </w:pPr>
      <w:r>
        <w:t>Outer Regional Australia</w:t>
      </w:r>
    </w:p>
    <w:p w:rsidR="00B54DA0" w:rsidRDefault="00B54DA0" w:rsidP="00862133">
      <w:pPr>
        <w:pStyle w:val="ListParagraph"/>
        <w:numPr>
          <w:ilvl w:val="0"/>
          <w:numId w:val="36"/>
        </w:numPr>
      </w:pPr>
      <w:r>
        <w:t>Remote Australia</w:t>
      </w:r>
    </w:p>
    <w:p w:rsidR="00B54DA0" w:rsidRDefault="00B54DA0" w:rsidP="00862133">
      <w:pPr>
        <w:pStyle w:val="ListParagraph"/>
        <w:numPr>
          <w:ilvl w:val="0"/>
          <w:numId w:val="36"/>
        </w:numPr>
      </w:pPr>
      <w:r>
        <w:t>Very Remote Australia</w:t>
      </w:r>
    </w:p>
    <w:p w:rsidR="00D91A2F" w:rsidRDefault="00D91A2F" w:rsidP="007E6DA8"/>
    <w:p w:rsidR="00D91A2F" w:rsidRPr="008C2F57" w:rsidRDefault="00D91A2F" w:rsidP="00D91A2F">
      <w:pPr>
        <w:pStyle w:val="FigureTitles"/>
        <w:rPr>
          <w:rFonts w:eastAsia="Calibri"/>
        </w:rPr>
      </w:pPr>
      <w:bookmarkStart w:id="21" w:name="_Toc517270576"/>
      <w:r>
        <w:rPr>
          <w:noProof/>
          <w:lang w:eastAsia="en-AU"/>
        </w:rPr>
        <w:drawing>
          <wp:anchor distT="0" distB="0" distL="114300" distR="114300" simplePos="0" relativeHeight="251672576" behindDoc="0" locked="0" layoutInCell="1" allowOverlap="1">
            <wp:simplePos x="0" y="0"/>
            <wp:positionH relativeFrom="column">
              <wp:posOffset>19050</wp:posOffset>
            </wp:positionH>
            <wp:positionV relativeFrom="paragraph">
              <wp:posOffset>0</wp:posOffset>
            </wp:positionV>
            <wp:extent cx="5599893" cy="6685788"/>
            <wp:effectExtent l="0" t="0" r="1270" b="1270"/>
            <wp:wrapSquare wrapText="bothSides"/>
            <wp:docPr id="13" name="image16.jpeg" descr="Map of South Australia colour-coded to show the ASGS rural classifications of the state."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99893" cy="6685788"/>
                    </a:xfrm>
                    <a:prstGeom prst="rect">
                      <a:avLst/>
                    </a:prstGeom>
                  </pic:spPr>
                </pic:pic>
              </a:graphicData>
            </a:graphic>
            <wp14:sizeRelH relativeFrom="page">
              <wp14:pctWidth>0</wp14:pctWidth>
            </wp14:sizeRelH>
            <wp14:sizeRelV relativeFrom="page">
              <wp14:pctHeight>0</wp14:pctHeight>
            </wp14:sizeRelV>
          </wp:anchor>
        </w:drawing>
      </w:r>
      <w:r>
        <w:br/>
        <w:t xml:space="preserve">Figure </w:t>
      </w:r>
      <w:fldSimple w:instr=" SEQ Figure \* ARABIC ">
        <w:r w:rsidR="00B00AA1">
          <w:rPr>
            <w:noProof/>
          </w:rPr>
          <w:t>2</w:t>
        </w:r>
      </w:fldSimple>
      <w:r>
        <w:t xml:space="preserve">: </w:t>
      </w:r>
      <w:r w:rsidRPr="00A111D7">
        <w:t>ASGS rural classifications of South Australia</w:t>
      </w:r>
      <w:bookmarkEnd w:id="21"/>
    </w:p>
    <w:p w:rsidR="00D91A2F" w:rsidRDefault="00D91A2F" w:rsidP="007E6DA8"/>
    <w:p w:rsidR="00D91A2F" w:rsidRDefault="00D91A2F" w:rsidP="00D91A2F">
      <w:r>
        <w:t>Whilst this study was aligned with the ASGS classifications, incongruities exist between the standard use of ASGS in research and the institutional definition applied by UniSA. The ASGS assesses remoteness on the basis of location to the closest capital city; in contrast UniSA takes a more restricted approach to defining rural students, excluding those students with rural home address postcodes below 5200. The result of this more restrictive definition of rurality results in a proportion (3%) of students defined by the University as being metropolitan, in comparison to government policy and research which defines the same student population as Inner Regional.</w:t>
      </w:r>
    </w:p>
    <w:p w:rsidR="00D91A2F" w:rsidRDefault="00D91A2F" w:rsidP="00D91A2F">
      <w:r>
        <w:t>These different definitions of rurality highlight the complexities surrounding the concept of physical location, though it is clear that proximity to a metropolitan university campus providing a strong indication of an individual’s educational and financial disadvantage. This study provides a case study for one institution, however it is anticipated that further research would identify a number of incongruities across multiple university sites. By maximising use of current technology, it is possible for a more targeted approach to be applied when determining rural student eligibility for financial support, as opposed to the broad general grouping that is currently used under the ASGS classification structure.</w:t>
      </w:r>
    </w:p>
    <w:p w:rsidR="00D91A2F" w:rsidRDefault="00D91A2F" w:rsidP="00D91A2F">
      <w:r>
        <w:t>The following two scenarios illustrate the incongruities.</w:t>
      </w:r>
    </w:p>
    <w:p w:rsidR="00D91A2F" w:rsidRDefault="00D91A2F" w:rsidP="00D91A2F">
      <w:r w:rsidRPr="00D91A2F">
        <w:rPr>
          <w:i/>
        </w:rPr>
        <w:t>Natalie</w:t>
      </w:r>
      <w:r>
        <w:t xml:space="preserve"> lives in Gawler, a town situated 51 km away from her university campus. Due to time constraints and the financial impact of the regular commute to campus, Natalie is planning on relocating closer to the city. As Gawler is classified under the ASGS as being within a major city, Natalie is not entitled to the Relocation Scholarship.</w:t>
      </w:r>
    </w:p>
    <w:p w:rsidR="00D91A2F" w:rsidRDefault="00D91A2F" w:rsidP="00D91A2F">
      <w:r w:rsidRPr="00D91A2F">
        <w:rPr>
          <w:i/>
        </w:rPr>
        <w:t>Brian</w:t>
      </w:r>
      <w:r>
        <w:t xml:space="preserve"> lives in Hahndorf, a town situated 26 km away from his university campus. Access to the campus is via a freeway, with public transport options. On relocating to the city Brian was eligible for the Relocation Scholarship on the basis that he met all of the eligibility criteria, which included relocating from Hahndorf as it is classified under the ASGS as Inner Regional.</w:t>
      </w:r>
    </w:p>
    <w:p w:rsidR="00D91A2F" w:rsidRPr="00D91A2F" w:rsidRDefault="00D91A2F" w:rsidP="00D91A2F">
      <w:pPr>
        <w:ind w:left="720"/>
        <w:rPr>
          <w:b/>
        </w:rPr>
      </w:pPr>
      <w:r w:rsidRPr="00D91A2F">
        <w:rPr>
          <w:b/>
        </w:rPr>
        <w:t>Recommendation 1:</w:t>
      </w:r>
      <w:r>
        <w:rPr>
          <w:b/>
        </w:rPr>
        <w:br/>
      </w:r>
      <w:r>
        <w:t>It is suggested that a new higher education rural mapping system be established to enable rural student home addresses to be mapped to their applicable university campus, thereby providing a more consistent method at the national level that will determine eligibility for various government and university financial support mechanisms.</w:t>
      </w:r>
    </w:p>
    <w:p w:rsidR="00D91A2F" w:rsidRDefault="00D91A2F" w:rsidP="00D91A2F">
      <w:pPr>
        <w:ind w:left="720"/>
      </w:pPr>
      <w:r w:rsidRPr="00D91A2F">
        <w:rPr>
          <w:b/>
        </w:rPr>
        <w:t>Recommendation 2:</w:t>
      </w:r>
      <w:r>
        <w:br/>
        <w:t>Should the system suggested in recommendation 1 be developed the definition of ‘inner regional’ should preclude distances of 50km or less between the proximity of a student’s rural home address and their primary university campus.</w:t>
      </w:r>
    </w:p>
    <w:p w:rsidR="00D91A2F" w:rsidRDefault="00D91A2F" w:rsidP="00D91A2F">
      <w:pPr>
        <w:pStyle w:val="Heading2"/>
      </w:pPr>
      <w:bookmarkStart w:id="22" w:name="_Toc517270329"/>
      <w:r>
        <w:t>2.6 Student Demographics</w:t>
      </w:r>
      <w:bookmarkEnd w:id="22"/>
    </w:p>
    <w:p w:rsidR="007E6DA8" w:rsidRDefault="00D91A2F" w:rsidP="00D91A2F">
      <w:r>
        <w:t>The demographic data in Table 1 and Table 2 shows that 60% of respondents were under 25 years of age and 38% were aged 25 years or over with 46% of both groups being the first in their family to attend higher education. The profile of an under 25 year old regional UniSA student responding to the survey was most likely to be female, have relocated to study, and be studying full time on campus. The profile of a UniSA regional student aged 25 and over responding to the survey was most likely to be female, have not relocated, with half of such students studying part time and half studying primarily in off-campus mode. A broad overview of the sample demographics is provided in Table 1.</w:t>
      </w:r>
    </w:p>
    <w:p w:rsidR="00D91A2F" w:rsidRDefault="00D91A2F" w:rsidP="00D91A2F"/>
    <w:p w:rsidR="00D91A2F" w:rsidRDefault="00D91A2F" w:rsidP="00D91A2F"/>
    <w:p w:rsidR="005E4F6E" w:rsidRDefault="005E4F6E" w:rsidP="005E4F6E">
      <w:pPr>
        <w:pStyle w:val="TableTitles"/>
      </w:pPr>
      <w:bookmarkStart w:id="23" w:name="_Toc517270495"/>
      <w:r>
        <w:t xml:space="preserve">Table </w:t>
      </w:r>
      <w:fldSimple w:instr=" SEQ Table \* ARABIC ">
        <w:r w:rsidR="00766065">
          <w:rPr>
            <w:noProof/>
          </w:rPr>
          <w:t>1</w:t>
        </w:r>
      </w:fldSimple>
      <w:r>
        <w:t xml:space="preserve">: </w:t>
      </w:r>
      <w:r w:rsidRPr="00816383">
        <w:t>Proportion of respondents based on demographic subgroups</w:t>
      </w:r>
      <w:bookmarkEnd w:id="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1E0" w:firstRow="1" w:lastRow="1" w:firstColumn="1" w:lastColumn="1" w:noHBand="0" w:noVBand="0"/>
        <w:tblCaption w:val="Table 1"/>
        <w:tblDescription w:val="Table displaying the proportion of respondents based on demographic subgroups, split into: Demographic subgroups; Under 25 (n and %); 25+ (n and %); Age not provided (n and %); and Row total."/>
      </w:tblPr>
      <w:tblGrid>
        <w:gridCol w:w="2405"/>
        <w:gridCol w:w="945"/>
        <w:gridCol w:w="945"/>
        <w:gridCol w:w="945"/>
        <w:gridCol w:w="945"/>
        <w:gridCol w:w="945"/>
        <w:gridCol w:w="945"/>
        <w:gridCol w:w="941"/>
      </w:tblGrid>
      <w:tr w:rsidR="005E4F6E" w:rsidRPr="00F61AD0" w:rsidTr="00595829">
        <w:trPr>
          <w:tblHeader/>
        </w:trPr>
        <w:tc>
          <w:tcPr>
            <w:tcW w:w="1334" w:type="pct"/>
            <w:tcBorders>
              <w:bottom w:val="single" w:sz="4" w:space="0" w:color="auto"/>
              <w:right w:val="single" w:sz="4" w:space="0" w:color="auto"/>
            </w:tcBorders>
            <w:shd w:val="clear" w:color="auto" w:fill="5B9BD5" w:themeFill="accent1"/>
          </w:tcPr>
          <w:p w:rsidR="00D91A2F" w:rsidRPr="00F61AD0" w:rsidRDefault="005E4F6E" w:rsidP="00D91A2F">
            <w:pPr>
              <w:pStyle w:val="TableText"/>
              <w:rPr>
                <w:b/>
                <w:color w:val="FFFFFF" w:themeColor="background1"/>
                <w:sz w:val="19"/>
                <w:szCs w:val="19"/>
              </w:rPr>
            </w:pPr>
            <w:r w:rsidRPr="00F61AD0">
              <w:rPr>
                <w:b/>
                <w:color w:val="FFFFFF" w:themeColor="background1"/>
                <w:sz w:val="19"/>
                <w:szCs w:val="19"/>
              </w:rPr>
              <w:t>Demographic subgroups</w:t>
            </w:r>
          </w:p>
        </w:tc>
        <w:tc>
          <w:tcPr>
            <w:tcW w:w="524" w:type="pct"/>
            <w:tcBorders>
              <w:top w:val="single" w:sz="4" w:space="0" w:color="auto"/>
              <w:left w:val="single" w:sz="4" w:space="0" w:color="auto"/>
              <w:bottom w:val="single" w:sz="4" w:space="0" w:color="auto"/>
              <w:right w:val="nil"/>
            </w:tcBorders>
            <w:shd w:val="clear" w:color="auto" w:fill="5B9BD5" w:themeFill="accent1"/>
          </w:tcPr>
          <w:p w:rsidR="00D91A2F" w:rsidRPr="00F61AD0" w:rsidRDefault="00D91A2F" w:rsidP="00D91A2F">
            <w:pPr>
              <w:pStyle w:val="TableText"/>
              <w:rPr>
                <w:b/>
                <w:color w:val="FFFFFF" w:themeColor="background1"/>
                <w:sz w:val="19"/>
                <w:szCs w:val="19"/>
              </w:rPr>
            </w:pPr>
            <w:r w:rsidRPr="00F61AD0">
              <w:rPr>
                <w:b/>
                <w:color w:val="FFFFFF" w:themeColor="background1"/>
                <w:sz w:val="19"/>
                <w:szCs w:val="19"/>
              </w:rPr>
              <w:t>Under 25</w:t>
            </w:r>
          </w:p>
        </w:tc>
        <w:tc>
          <w:tcPr>
            <w:tcW w:w="524" w:type="pct"/>
            <w:tcBorders>
              <w:top w:val="single" w:sz="4" w:space="0" w:color="auto"/>
              <w:left w:val="nil"/>
              <w:bottom w:val="single" w:sz="4" w:space="0" w:color="auto"/>
              <w:right w:val="single" w:sz="4" w:space="0" w:color="auto"/>
            </w:tcBorders>
            <w:shd w:val="clear" w:color="auto" w:fill="5B9BD5" w:themeFill="accent1"/>
          </w:tcPr>
          <w:p w:rsidR="00D91A2F" w:rsidRPr="00F61AD0" w:rsidRDefault="00D91A2F" w:rsidP="00D91A2F">
            <w:pPr>
              <w:pStyle w:val="TableText"/>
              <w:rPr>
                <w:b/>
                <w:color w:val="FFFFFF" w:themeColor="background1"/>
                <w:sz w:val="19"/>
                <w:szCs w:val="19"/>
              </w:rPr>
            </w:pPr>
          </w:p>
        </w:tc>
        <w:tc>
          <w:tcPr>
            <w:tcW w:w="524" w:type="pct"/>
            <w:tcBorders>
              <w:top w:val="single" w:sz="4" w:space="0" w:color="auto"/>
              <w:left w:val="single" w:sz="4" w:space="0" w:color="auto"/>
              <w:bottom w:val="single" w:sz="4" w:space="0" w:color="auto"/>
              <w:right w:val="nil"/>
            </w:tcBorders>
            <w:shd w:val="clear" w:color="auto" w:fill="5B9BD5" w:themeFill="accent1"/>
          </w:tcPr>
          <w:p w:rsidR="00D91A2F" w:rsidRPr="00F61AD0" w:rsidRDefault="00D91A2F" w:rsidP="00D91A2F">
            <w:pPr>
              <w:pStyle w:val="TableText"/>
              <w:rPr>
                <w:b/>
                <w:color w:val="FFFFFF" w:themeColor="background1"/>
                <w:sz w:val="19"/>
                <w:szCs w:val="19"/>
              </w:rPr>
            </w:pPr>
            <w:r w:rsidRPr="00F61AD0">
              <w:rPr>
                <w:b/>
                <w:color w:val="FFFFFF" w:themeColor="background1"/>
                <w:sz w:val="19"/>
                <w:szCs w:val="19"/>
              </w:rPr>
              <w:t>25+</w:t>
            </w:r>
          </w:p>
        </w:tc>
        <w:tc>
          <w:tcPr>
            <w:tcW w:w="524" w:type="pct"/>
            <w:tcBorders>
              <w:top w:val="single" w:sz="4" w:space="0" w:color="auto"/>
              <w:left w:val="nil"/>
              <w:bottom w:val="single" w:sz="4" w:space="0" w:color="auto"/>
              <w:right w:val="single" w:sz="4" w:space="0" w:color="auto"/>
            </w:tcBorders>
            <w:shd w:val="clear" w:color="auto" w:fill="5B9BD5" w:themeFill="accent1"/>
          </w:tcPr>
          <w:p w:rsidR="00D91A2F" w:rsidRPr="00F61AD0" w:rsidRDefault="00D91A2F" w:rsidP="00D91A2F">
            <w:pPr>
              <w:pStyle w:val="TableText"/>
              <w:rPr>
                <w:b/>
                <w:color w:val="FFFFFF" w:themeColor="background1"/>
                <w:sz w:val="19"/>
                <w:szCs w:val="19"/>
              </w:rPr>
            </w:pPr>
          </w:p>
        </w:tc>
        <w:tc>
          <w:tcPr>
            <w:tcW w:w="524" w:type="pct"/>
            <w:tcBorders>
              <w:top w:val="single" w:sz="4" w:space="0" w:color="auto"/>
              <w:left w:val="single" w:sz="4" w:space="0" w:color="auto"/>
              <w:bottom w:val="single" w:sz="4" w:space="0" w:color="auto"/>
              <w:right w:val="nil"/>
            </w:tcBorders>
            <w:shd w:val="clear" w:color="auto" w:fill="5B9BD5" w:themeFill="accent1"/>
          </w:tcPr>
          <w:p w:rsidR="00D91A2F" w:rsidRPr="00F61AD0" w:rsidRDefault="00D91A2F" w:rsidP="00D91A2F">
            <w:pPr>
              <w:pStyle w:val="TableText"/>
              <w:rPr>
                <w:b/>
                <w:color w:val="FFFFFF" w:themeColor="background1"/>
                <w:sz w:val="19"/>
                <w:szCs w:val="19"/>
              </w:rPr>
            </w:pPr>
            <w:r w:rsidRPr="00F61AD0">
              <w:rPr>
                <w:b/>
                <w:color w:val="FFFFFF" w:themeColor="background1"/>
                <w:sz w:val="19"/>
                <w:szCs w:val="19"/>
              </w:rPr>
              <w:t>Age not provided</w:t>
            </w:r>
          </w:p>
        </w:tc>
        <w:tc>
          <w:tcPr>
            <w:tcW w:w="524" w:type="pct"/>
            <w:tcBorders>
              <w:top w:val="single" w:sz="4" w:space="0" w:color="auto"/>
              <w:left w:val="nil"/>
              <w:bottom w:val="single" w:sz="4" w:space="0" w:color="auto"/>
              <w:right w:val="single" w:sz="4" w:space="0" w:color="auto"/>
            </w:tcBorders>
            <w:shd w:val="clear" w:color="auto" w:fill="5B9BD5" w:themeFill="accent1"/>
          </w:tcPr>
          <w:p w:rsidR="00D91A2F" w:rsidRPr="00F61AD0" w:rsidRDefault="00D91A2F" w:rsidP="00D91A2F">
            <w:pPr>
              <w:pStyle w:val="TableText"/>
              <w:rPr>
                <w:b/>
                <w:color w:val="FFFFFF" w:themeColor="background1"/>
                <w:sz w:val="19"/>
                <w:szCs w:val="19"/>
              </w:rPr>
            </w:pPr>
          </w:p>
        </w:tc>
        <w:tc>
          <w:tcPr>
            <w:tcW w:w="522" w:type="pct"/>
            <w:tcBorders>
              <w:left w:val="single" w:sz="4" w:space="0" w:color="auto"/>
              <w:bottom w:val="single" w:sz="4" w:space="0" w:color="auto"/>
            </w:tcBorders>
            <w:shd w:val="clear" w:color="auto" w:fill="5B9BD5" w:themeFill="accent1"/>
          </w:tcPr>
          <w:p w:rsidR="00D91A2F" w:rsidRPr="00F61AD0" w:rsidRDefault="005E4F6E" w:rsidP="00D91A2F">
            <w:pPr>
              <w:pStyle w:val="TableText"/>
              <w:rPr>
                <w:b/>
                <w:color w:val="FFFFFF" w:themeColor="background1"/>
                <w:sz w:val="19"/>
                <w:szCs w:val="19"/>
              </w:rPr>
            </w:pPr>
            <w:r w:rsidRPr="00F61AD0">
              <w:rPr>
                <w:b/>
                <w:color w:val="FFFFFF" w:themeColor="background1"/>
                <w:sz w:val="19"/>
                <w:szCs w:val="19"/>
              </w:rPr>
              <w:t>Row Total</w:t>
            </w:r>
          </w:p>
        </w:tc>
      </w:tr>
      <w:tr w:rsidR="005E4F6E" w:rsidRPr="00F61AD0" w:rsidTr="00595829">
        <w:trPr>
          <w:tblHeader/>
        </w:trPr>
        <w:tc>
          <w:tcPr>
            <w:tcW w:w="1334" w:type="pct"/>
            <w:tcBorders>
              <w:top w:val="single" w:sz="4" w:space="0" w:color="auto"/>
              <w:left w:val="nil"/>
              <w:bottom w:val="single" w:sz="4" w:space="0" w:color="auto"/>
              <w:right w:val="single" w:sz="4" w:space="0" w:color="auto"/>
            </w:tcBorders>
          </w:tcPr>
          <w:p w:rsidR="00D91A2F" w:rsidRPr="00F61AD0" w:rsidRDefault="00D91A2F" w:rsidP="00D91A2F">
            <w:pPr>
              <w:pStyle w:val="TableText"/>
              <w:rPr>
                <w:rFonts w:ascii="Times New Roman"/>
                <w:sz w:val="19"/>
                <w:szCs w:val="19"/>
              </w:rPr>
            </w:pPr>
          </w:p>
        </w:tc>
        <w:tc>
          <w:tcPr>
            <w:tcW w:w="524"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91A2F" w:rsidRPr="00F61AD0" w:rsidRDefault="00D91A2F" w:rsidP="00D91A2F">
            <w:pPr>
              <w:pStyle w:val="TableText"/>
              <w:rPr>
                <w:b/>
                <w:sz w:val="19"/>
                <w:szCs w:val="19"/>
              </w:rPr>
            </w:pPr>
            <w:r w:rsidRPr="00F61AD0">
              <w:rPr>
                <w:b/>
                <w:w w:val="103"/>
                <w:sz w:val="19"/>
                <w:szCs w:val="19"/>
              </w:rPr>
              <w:t>n</w:t>
            </w:r>
          </w:p>
        </w:tc>
        <w:tc>
          <w:tcPr>
            <w:tcW w:w="524"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91A2F" w:rsidRPr="00F61AD0" w:rsidRDefault="00D91A2F" w:rsidP="00D91A2F">
            <w:pPr>
              <w:pStyle w:val="TableText"/>
              <w:rPr>
                <w:b/>
                <w:sz w:val="19"/>
                <w:szCs w:val="19"/>
              </w:rPr>
            </w:pPr>
            <w:r w:rsidRPr="00F61AD0">
              <w:rPr>
                <w:b/>
                <w:w w:val="103"/>
                <w:sz w:val="19"/>
                <w:szCs w:val="19"/>
              </w:rPr>
              <w:t>%</w:t>
            </w:r>
          </w:p>
        </w:tc>
        <w:tc>
          <w:tcPr>
            <w:tcW w:w="524"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91A2F" w:rsidRPr="00F61AD0" w:rsidRDefault="00D91A2F" w:rsidP="00D91A2F">
            <w:pPr>
              <w:pStyle w:val="TableText"/>
              <w:rPr>
                <w:b/>
                <w:sz w:val="19"/>
                <w:szCs w:val="19"/>
              </w:rPr>
            </w:pPr>
            <w:r w:rsidRPr="00F61AD0">
              <w:rPr>
                <w:b/>
                <w:w w:val="103"/>
                <w:sz w:val="19"/>
                <w:szCs w:val="19"/>
              </w:rPr>
              <w:t>n</w:t>
            </w:r>
          </w:p>
        </w:tc>
        <w:tc>
          <w:tcPr>
            <w:tcW w:w="524"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91A2F" w:rsidRPr="00F61AD0" w:rsidRDefault="00D91A2F" w:rsidP="00D91A2F">
            <w:pPr>
              <w:pStyle w:val="TableText"/>
              <w:rPr>
                <w:b/>
                <w:sz w:val="19"/>
                <w:szCs w:val="19"/>
              </w:rPr>
            </w:pPr>
            <w:r w:rsidRPr="00F61AD0">
              <w:rPr>
                <w:b/>
                <w:w w:val="103"/>
                <w:sz w:val="19"/>
                <w:szCs w:val="19"/>
              </w:rPr>
              <w:t>%</w:t>
            </w:r>
          </w:p>
        </w:tc>
        <w:tc>
          <w:tcPr>
            <w:tcW w:w="524"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91A2F" w:rsidRPr="00F61AD0" w:rsidRDefault="00D91A2F" w:rsidP="00D91A2F">
            <w:pPr>
              <w:pStyle w:val="TableText"/>
              <w:rPr>
                <w:b/>
                <w:sz w:val="19"/>
                <w:szCs w:val="19"/>
              </w:rPr>
            </w:pPr>
            <w:r w:rsidRPr="00F61AD0">
              <w:rPr>
                <w:b/>
                <w:w w:val="103"/>
                <w:sz w:val="19"/>
                <w:szCs w:val="19"/>
              </w:rPr>
              <w:t>n</w:t>
            </w:r>
          </w:p>
        </w:tc>
        <w:tc>
          <w:tcPr>
            <w:tcW w:w="524"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91A2F" w:rsidRPr="00F61AD0" w:rsidRDefault="00D91A2F" w:rsidP="00D91A2F">
            <w:pPr>
              <w:pStyle w:val="TableText"/>
              <w:rPr>
                <w:b/>
                <w:sz w:val="19"/>
                <w:szCs w:val="19"/>
              </w:rPr>
            </w:pPr>
            <w:r w:rsidRPr="00F61AD0">
              <w:rPr>
                <w:b/>
                <w:w w:val="103"/>
                <w:sz w:val="19"/>
                <w:szCs w:val="19"/>
              </w:rPr>
              <w:t>%</w:t>
            </w:r>
          </w:p>
        </w:tc>
        <w:tc>
          <w:tcPr>
            <w:tcW w:w="522" w:type="pct"/>
            <w:tcBorders>
              <w:top w:val="single" w:sz="4" w:space="0" w:color="auto"/>
              <w:left w:val="single" w:sz="4" w:space="0" w:color="auto"/>
              <w:bottom w:val="single" w:sz="4" w:space="0" w:color="auto"/>
              <w:right w:val="nil"/>
            </w:tcBorders>
            <w:shd w:val="clear" w:color="auto" w:fill="auto"/>
          </w:tcPr>
          <w:p w:rsidR="00D91A2F" w:rsidRPr="00F61AD0" w:rsidRDefault="00D91A2F" w:rsidP="00D91A2F">
            <w:pPr>
              <w:pStyle w:val="TableText"/>
              <w:rPr>
                <w:b/>
                <w:sz w:val="19"/>
                <w:szCs w:val="19"/>
              </w:rPr>
            </w:pPr>
          </w:p>
        </w:tc>
      </w:tr>
      <w:tr w:rsidR="005E4F6E" w:rsidRPr="00F61AD0" w:rsidTr="005E4F6E">
        <w:tc>
          <w:tcPr>
            <w:tcW w:w="1334" w:type="pct"/>
            <w:tcBorders>
              <w:top w:val="single" w:sz="4" w:space="0" w:color="auto"/>
              <w:left w:val="single" w:sz="4" w:space="0" w:color="auto"/>
              <w:bottom w:val="single" w:sz="4" w:space="0" w:color="auto"/>
              <w:right w:val="nil"/>
            </w:tcBorders>
            <w:shd w:val="clear" w:color="auto" w:fill="F2F2F2" w:themeFill="background1" w:themeFillShade="F2"/>
          </w:tcPr>
          <w:p w:rsidR="00D91A2F" w:rsidRPr="00F61AD0" w:rsidRDefault="00D91A2F" w:rsidP="00D91A2F">
            <w:pPr>
              <w:pStyle w:val="TableText"/>
              <w:rPr>
                <w:b/>
                <w:sz w:val="19"/>
                <w:szCs w:val="19"/>
              </w:rPr>
            </w:pPr>
            <w:r w:rsidRPr="00F61AD0">
              <w:rPr>
                <w:b/>
                <w:w w:val="105"/>
                <w:sz w:val="19"/>
                <w:szCs w:val="19"/>
              </w:rPr>
              <w:t>Age group</w:t>
            </w:r>
          </w:p>
        </w:tc>
        <w:tc>
          <w:tcPr>
            <w:tcW w:w="524" w:type="pct"/>
            <w:tcBorders>
              <w:top w:val="single" w:sz="4" w:space="0" w:color="auto"/>
              <w:left w:val="nil"/>
              <w:bottom w:val="single" w:sz="4" w:space="0" w:color="auto"/>
              <w:right w:val="nil"/>
            </w:tcBorders>
            <w:shd w:val="clear" w:color="auto" w:fill="F2F2F2" w:themeFill="background1" w:themeFillShade="F2"/>
          </w:tcPr>
          <w:p w:rsidR="00D91A2F" w:rsidRPr="00F61AD0" w:rsidRDefault="00D91A2F" w:rsidP="00D91A2F">
            <w:pPr>
              <w:pStyle w:val="TableText"/>
              <w:rPr>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D91A2F" w:rsidRPr="00F61AD0" w:rsidRDefault="00D91A2F" w:rsidP="00D91A2F">
            <w:pPr>
              <w:pStyle w:val="TableText"/>
              <w:rPr>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D91A2F" w:rsidRPr="00F61AD0" w:rsidRDefault="00D91A2F" w:rsidP="00D91A2F">
            <w:pPr>
              <w:pStyle w:val="TableText"/>
              <w:rPr>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D91A2F" w:rsidRPr="00F61AD0" w:rsidRDefault="00D91A2F" w:rsidP="00D91A2F">
            <w:pPr>
              <w:pStyle w:val="TableText"/>
              <w:rPr>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D91A2F" w:rsidRPr="00F61AD0" w:rsidRDefault="00D91A2F" w:rsidP="00D91A2F">
            <w:pPr>
              <w:pStyle w:val="TableText"/>
              <w:rPr>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D91A2F" w:rsidRPr="00F61AD0" w:rsidRDefault="00D91A2F" w:rsidP="00D91A2F">
            <w:pPr>
              <w:pStyle w:val="TableText"/>
              <w:rPr>
                <w:sz w:val="19"/>
                <w:szCs w:val="19"/>
              </w:rPr>
            </w:pPr>
          </w:p>
        </w:tc>
        <w:tc>
          <w:tcPr>
            <w:tcW w:w="522" w:type="pct"/>
            <w:tcBorders>
              <w:top w:val="single" w:sz="4" w:space="0" w:color="auto"/>
              <w:left w:val="nil"/>
              <w:bottom w:val="single" w:sz="4" w:space="0" w:color="auto"/>
              <w:right w:val="single" w:sz="4" w:space="0" w:color="auto"/>
            </w:tcBorders>
            <w:shd w:val="clear" w:color="auto" w:fill="F2F2F2" w:themeFill="background1" w:themeFillShade="F2"/>
          </w:tcPr>
          <w:p w:rsidR="00D91A2F" w:rsidRPr="00F61AD0" w:rsidRDefault="00D91A2F" w:rsidP="00D91A2F">
            <w:pPr>
              <w:pStyle w:val="TableText"/>
              <w:rPr>
                <w:sz w:val="19"/>
                <w:szCs w:val="19"/>
              </w:rPr>
            </w:pPr>
          </w:p>
        </w:tc>
      </w:tr>
      <w:tr w:rsidR="005E4F6E" w:rsidRPr="00F61AD0" w:rsidTr="005E4F6E">
        <w:tc>
          <w:tcPr>
            <w:tcW w:w="1334" w:type="pct"/>
            <w:tcBorders>
              <w:top w:val="single" w:sz="4" w:space="0" w:color="auto"/>
              <w:bottom w:val="single" w:sz="4" w:space="0" w:color="auto"/>
            </w:tcBorders>
          </w:tcPr>
          <w:p w:rsidR="005E4F6E" w:rsidRPr="00F61AD0" w:rsidRDefault="005E4F6E" w:rsidP="005E4F6E">
            <w:pPr>
              <w:pStyle w:val="TableText"/>
              <w:rPr>
                <w:b/>
                <w:w w:val="105"/>
                <w:sz w:val="19"/>
                <w:szCs w:val="19"/>
              </w:rPr>
            </w:pPr>
          </w:p>
        </w:tc>
        <w:tc>
          <w:tcPr>
            <w:tcW w:w="524" w:type="pct"/>
            <w:tcBorders>
              <w:top w:val="single" w:sz="4" w:space="0" w:color="auto"/>
              <w:bottom w:val="single" w:sz="4" w:space="0" w:color="auto"/>
            </w:tcBorders>
          </w:tcPr>
          <w:p w:rsidR="005E4F6E" w:rsidRPr="00F61AD0" w:rsidRDefault="005E4F6E" w:rsidP="005E4F6E">
            <w:pPr>
              <w:pStyle w:val="TableText"/>
              <w:rPr>
                <w:sz w:val="19"/>
                <w:szCs w:val="19"/>
              </w:rPr>
            </w:pPr>
            <w:r w:rsidRPr="00F61AD0">
              <w:rPr>
                <w:w w:val="105"/>
                <w:sz w:val="19"/>
                <w:szCs w:val="19"/>
              </w:rPr>
              <w:t>364</w:t>
            </w:r>
          </w:p>
        </w:tc>
        <w:tc>
          <w:tcPr>
            <w:tcW w:w="524" w:type="pct"/>
            <w:tcBorders>
              <w:top w:val="single" w:sz="4" w:space="0" w:color="auto"/>
              <w:bottom w:val="single" w:sz="4" w:space="0" w:color="auto"/>
            </w:tcBorders>
          </w:tcPr>
          <w:p w:rsidR="005E4F6E" w:rsidRPr="00F61AD0" w:rsidRDefault="005E4F6E" w:rsidP="005E4F6E">
            <w:pPr>
              <w:pStyle w:val="TableText"/>
              <w:rPr>
                <w:sz w:val="19"/>
                <w:szCs w:val="19"/>
              </w:rPr>
            </w:pPr>
            <w:r w:rsidRPr="00F61AD0">
              <w:rPr>
                <w:w w:val="105"/>
                <w:sz w:val="19"/>
                <w:szCs w:val="19"/>
              </w:rPr>
              <w:t>60.0</w:t>
            </w:r>
          </w:p>
        </w:tc>
        <w:tc>
          <w:tcPr>
            <w:tcW w:w="524" w:type="pct"/>
            <w:tcBorders>
              <w:top w:val="single" w:sz="4" w:space="0" w:color="auto"/>
              <w:bottom w:val="single" w:sz="4" w:space="0" w:color="auto"/>
            </w:tcBorders>
          </w:tcPr>
          <w:p w:rsidR="005E4F6E" w:rsidRPr="00F61AD0" w:rsidRDefault="005E4F6E" w:rsidP="005E4F6E">
            <w:pPr>
              <w:pStyle w:val="TableText"/>
              <w:rPr>
                <w:sz w:val="19"/>
                <w:szCs w:val="19"/>
              </w:rPr>
            </w:pPr>
            <w:r w:rsidRPr="00F61AD0">
              <w:rPr>
                <w:w w:val="105"/>
                <w:sz w:val="19"/>
                <w:szCs w:val="19"/>
              </w:rPr>
              <w:t>231</w:t>
            </w:r>
          </w:p>
        </w:tc>
        <w:tc>
          <w:tcPr>
            <w:tcW w:w="524" w:type="pct"/>
            <w:tcBorders>
              <w:top w:val="single" w:sz="4" w:space="0" w:color="auto"/>
              <w:bottom w:val="single" w:sz="4" w:space="0" w:color="auto"/>
            </w:tcBorders>
          </w:tcPr>
          <w:p w:rsidR="005E4F6E" w:rsidRPr="00F61AD0" w:rsidRDefault="005E4F6E" w:rsidP="005E4F6E">
            <w:pPr>
              <w:pStyle w:val="TableText"/>
              <w:rPr>
                <w:sz w:val="19"/>
                <w:szCs w:val="19"/>
              </w:rPr>
            </w:pPr>
            <w:r w:rsidRPr="00F61AD0">
              <w:rPr>
                <w:w w:val="105"/>
                <w:sz w:val="19"/>
                <w:szCs w:val="19"/>
              </w:rPr>
              <w:t>38.1</w:t>
            </w:r>
          </w:p>
        </w:tc>
        <w:tc>
          <w:tcPr>
            <w:tcW w:w="524" w:type="pct"/>
            <w:tcBorders>
              <w:top w:val="single" w:sz="4" w:space="0" w:color="auto"/>
              <w:bottom w:val="single" w:sz="4" w:space="0" w:color="auto"/>
            </w:tcBorders>
          </w:tcPr>
          <w:p w:rsidR="005E4F6E" w:rsidRPr="00F61AD0" w:rsidRDefault="005E4F6E" w:rsidP="005E4F6E">
            <w:pPr>
              <w:pStyle w:val="TableText"/>
              <w:rPr>
                <w:sz w:val="19"/>
                <w:szCs w:val="19"/>
              </w:rPr>
            </w:pPr>
            <w:r w:rsidRPr="00F61AD0">
              <w:rPr>
                <w:w w:val="105"/>
                <w:sz w:val="19"/>
                <w:szCs w:val="19"/>
              </w:rPr>
              <w:t>12</w:t>
            </w:r>
          </w:p>
        </w:tc>
        <w:tc>
          <w:tcPr>
            <w:tcW w:w="524" w:type="pct"/>
            <w:tcBorders>
              <w:top w:val="single" w:sz="4" w:space="0" w:color="auto"/>
              <w:bottom w:val="single" w:sz="4" w:space="0" w:color="auto"/>
            </w:tcBorders>
          </w:tcPr>
          <w:p w:rsidR="005E4F6E" w:rsidRPr="00F61AD0" w:rsidRDefault="005E4F6E" w:rsidP="005E4F6E">
            <w:pPr>
              <w:pStyle w:val="TableText"/>
              <w:rPr>
                <w:sz w:val="19"/>
                <w:szCs w:val="19"/>
              </w:rPr>
            </w:pPr>
            <w:r w:rsidRPr="00F61AD0">
              <w:rPr>
                <w:w w:val="105"/>
                <w:sz w:val="19"/>
                <w:szCs w:val="19"/>
              </w:rPr>
              <w:t>1.9</w:t>
            </w:r>
          </w:p>
        </w:tc>
        <w:tc>
          <w:tcPr>
            <w:tcW w:w="522" w:type="pct"/>
            <w:tcBorders>
              <w:top w:val="single" w:sz="4" w:space="0" w:color="auto"/>
              <w:bottom w:val="single" w:sz="4" w:space="0" w:color="auto"/>
            </w:tcBorders>
          </w:tcPr>
          <w:p w:rsidR="005E4F6E" w:rsidRPr="00F61AD0" w:rsidRDefault="005E4F6E" w:rsidP="005E4F6E">
            <w:pPr>
              <w:pStyle w:val="TableText"/>
              <w:rPr>
                <w:sz w:val="19"/>
                <w:szCs w:val="19"/>
              </w:rPr>
            </w:pPr>
            <w:r w:rsidRPr="00F61AD0">
              <w:rPr>
                <w:w w:val="105"/>
                <w:sz w:val="19"/>
                <w:szCs w:val="19"/>
              </w:rPr>
              <w:t>607</w:t>
            </w:r>
          </w:p>
        </w:tc>
      </w:tr>
      <w:tr w:rsidR="005E4F6E" w:rsidRPr="00F61AD0" w:rsidTr="005E4F6E">
        <w:tc>
          <w:tcPr>
            <w:tcW w:w="1334" w:type="pct"/>
            <w:tcBorders>
              <w:top w:val="single" w:sz="4" w:space="0" w:color="auto"/>
              <w:left w:val="single" w:sz="4" w:space="0" w:color="auto"/>
              <w:bottom w:val="single" w:sz="4" w:space="0" w:color="auto"/>
              <w:right w:val="nil"/>
            </w:tcBorders>
            <w:shd w:val="clear" w:color="auto" w:fill="F2F2F2" w:themeFill="background1" w:themeFillShade="F2"/>
          </w:tcPr>
          <w:p w:rsidR="005E4F6E" w:rsidRPr="00F61AD0" w:rsidRDefault="005E4F6E" w:rsidP="005E4F6E">
            <w:pPr>
              <w:pStyle w:val="TableText"/>
              <w:rPr>
                <w:b/>
                <w:sz w:val="19"/>
                <w:szCs w:val="19"/>
              </w:rPr>
            </w:pPr>
            <w:r w:rsidRPr="00F61AD0">
              <w:rPr>
                <w:b/>
                <w:w w:val="105"/>
                <w:sz w:val="19"/>
                <w:szCs w:val="19"/>
              </w:rPr>
              <w:t>Gender</w:t>
            </w:r>
          </w:p>
        </w:tc>
        <w:tc>
          <w:tcPr>
            <w:tcW w:w="524" w:type="pct"/>
            <w:tcBorders>
              <w:top w:val="single" w:sz="4" w:space="0" w:color="auto"/>
              <w:left w:val="nil"/>
              <w:bottom w:val="single" w:sz="4" w:space="0" w:color="auto"/>
              <w:right w:val="nil"/>
            </w:tcBorders>
            <w:shd w:val="clear" w:color="auto" w:fill="F2F2F2" w:themeFill="background1" w:themeFillShade="F2"/>
          </w:tcPr>
          <w:p w:rsidR="005E4F6E" w:rsidRPr="00F61AD0" w:rsidRDefault="005E4F6E" w:rsidP="005E4F6E">
            <w:pPr>
              <w:pStyle w:val="TableText"/>
              <w:rPr>
                <w:rFonts w:ascii="Times New Roman"/>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5E4F6E" w:rsidRPr="00F61AD0" w:rsidRDefault="005E4F6E" w:rsidP="005E4F6E">
            <w:pPr>
              <w:pStyle w:val="TableText"/>
              <w:rPr>
                <w:rFonts w:ascii="Times New Roman"/>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5E4F6E" w:rsidRPr="00F61AD0" w:rsidRDefault="005E4F6E" w:rsidP="005E4F6E">
            <w:pPr>
              <w:pStyle w:val="TableText"/>
              <w:rPr>
                <w:rFonts w:ascii="Times New Roman"/>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5E4F6E" w:rsidRPr="00F61AD0" w:rsidRDefault="005E4F6E" w:rsidP="005E4F6E">
            <w:pPr>
              <w:pStyle w:val="TableText"/>
              <w:rPr>
                <w:rFonts w:ascii="Times New Roman"/>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5E4F6E" w:rsidRPr="00F61AD0" w:rsidRDefault="005E4F6E" w:rsidP="005E4F6E">
            <w:pPr>
              <w:pStyle w:val="TableText"/>
              <w:rPr>
                <w:rFonts w:ascii="Times New Roman"/>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5E4F6E" w:rsidRPr="00F61AD0" w:rsidRDefault="005E4F6E" w:rsidP="005E4F6E">
            <w:pPr>
              <w:pStyle w:val="TableText"/>
              <w:rPr>
                <w:rFonts w:ascii="Times New Roman"/>
                <w:sz w:val="19"/>
                <w:szCs w:val="19"/>
              </w:rPr>
            </w:pPr>
          </w:p>
        </w:tc>
        <w:tc>
          <w:tcPr>
            <w:tcW w:w="522" w:type="pct"/>
            <w:tcBorders>
              <w:top w:val="single" w:sz="4" w:space="0" w:color="auto"/>
              <w:left w:val="nil"/>
              <w:bottom w:val="single" w:sz="4" w:space="0" w:color="auto"/>
              <w:right w:val="single" w:sz="4" w:space="0" w:color="auto"/>
            </w:tcBorders>
            <w:shd w:val="clear" w:color="auto" w:fill="F2F2F2" w:themeFill="background1" w:themeFillShade="F2"/>
          </w:tcPr>
          <w:p w:rsidR="005E4F6E" w:rsidRPr="00F61AD0" w:rsidRDefault="005E4F6E" w:rsidP="005E4F6E">
            <w:pPr>
              <w:pStyle w:val="TableText"/>
              <w:rPr>
                <w:rFonts w:ascii="Times New Roman"/>
                <w:sz w:val="19"/>
                <w:szCs w:val="19"/>
              </w:rPr>
            </w:pPr>
          </w:p>
        </w:tc>
      </w:tr>
      <w:tr w:rsidR="005E4F6E" w:rsidRPr="00F61AD0" w:rsidTr="005E4F6E">
        <w:tc>
          <w:tcPr>
            <w:tcW w:w="1334" w:type="pct"/>
            <w:tcBorders>
              <w:top w:val="single" w:sz="4" w:space="0" w:color="auto"/>
            </w:tcBorders>
          </w:tcPr>
          <w:p w:rsidR="005E4F6E" w:rsidRPr="00F61AD0" w:rsidRDefault="005E4F6E" w:rsidP="005E4F6E">
            <w:pPr>
              <w:pStyle w:val="TableText"/>
              <w:rPr>
                <w:sz w:val="19"/>
                <w:szCs w:val="19"/>
              </w:rPr>
            </w:pPr>
            <w:r w:rsidRPr="00F61AD0">
              <w:rPr>
                <w:w w:val="105"/>
                <w:sz w:val="19"/>
                <w:szCs w:val="19"/>
              </w:rPr>
              <w:t>Female</w:t>
            </w:r>
          </w:p>
        </w:tc>
        <w:tc>
          <w:tcPr>
            <w:tcW w:w="524" w:type="pct"/>
            <w:tcBorders>
              <w:top w:val="single" w:sz="4" w:space="0" w:color="auto"/>
            </w:tcBorders>
          </w:tcPr>
          <w:p w:rsidR="005E4F6E" w:rsidRPr="00F61AD0" w:rsidRDefault="005E4F6E" w:rsidP="005E4F6E">
            <w:pPr>
              <w:pStyle w:val="TableText"/>
              <w:rPr>
                <w:sz w:val="19"/>
                <w:szCs w:val="19"/>
              </w:rPr>
            </w:pPr>
            <w:r w:rsidRPr="00F61AD0">
              <w:rPr>
                <w:w w:val="105"/>
                <w:sz w:val="19"/>
                <w:szCs w:val="19"/>
              </w:rPr>
              <w:t>300</w:t>
            </w:r>
          </w:p>
        </w:tc>
        <w:tc>
          <w:tcPr>
            <w:tcW w:w="524" w:type="pct"/>
            <w:tcBorders>
              <w:top w:val="single" w:sz="4" w:space="0" w:color="auto"/>
            </w:tcBorders>
          </w:tcPr>
          <w:p w:rsidR="005E4F6E" w:rsidRPr="00F61AD0" w:rsidRDefault="005E4F6E" w:rsidP="005E4F6E">
            <w:pPr>
              <w:pStyle w:val="TableText"/>
              <w:rPr>
                <w:sz w:val="19"/>
                <w:szCs w:val="19"/>
              </w:rPr>
            </w:pPr>
            <w:r w:rsidRPr="00F61AD0">
              <w:rPr>
                <w:w w:val="105"/>
                <w:sz w:val="19"/>
                <w:szCs w:val="19"/>
              </w:rPr>
              <w:t>82.4</w:t>
            </w:r>
          </w:p>
        </w:tc>
        <w:tc>
          <w:tcPr>
            <w:tcW w:w="524" w:type="pct"/>
            <w:tcBorders>
              <w:top w:val="single" w:sz="4" w:space="0" w:color="auto"/>
            </w:tcBorders>
          </w:tcPr>
          <w:p w:rsidR="005E4F6E" w:rsidRPr="00F61AD0" w:rsidRDefault="005E4F6E" w:rsidP="005E4F6E">
            <w:pPr>
              <w:pStyle w:val="TableText"/>
              <w:rPr>
                <w:sz w:val="19"/>
                <w:szCs w:val="19"/>
              </w:rPr>
            </w:pPr>
            <w:r w:rsidRPr="00F61AD0">
              <w:rPr>
                <w:w w:val="105"/>
                <w:sz w:val="19"/>
                <w:szCs w:val="19"/>
              </w:rPr>
              <w:t>187</w:t>
            </w:r>
          </w:p>
        </w:tc>
        <w:tc>
          <w:tcPr>
            <w:tcW w:w="524" w:type="pct"/>
            <w:tcBorders>
              <w:top w:val="single" w:sz="4" w:space="0" w:color="auto"/>
            </w:tcBorders>
          </w:tcPr>
          <w:p w:rsidR="005E4F6E" w:rsidRPr="00F61AD0" w:rsidRDefault="005E4F6E" w:rsidP="005E4F6E">
            <w:pPr>
              <w:pStyle w:val="TableText"/>
              <w:rPr>
                <w:sz w:val="19"/>
                <w:szCs w:val="19"/>
              </w:rPr>
            </w:pPr>
            <w:r w:rsidRPr="00F61AD0">
              <w:rPr>
                <w:w w:val="105"/>
                <w:sz w:val="19"/>
                <w:szCs w:val="19"/>
              </w:rPr>
              <w:t>81.0</w:t>
            </w:r>
          </w:p>
        </w:tc>
        <w:tc>
          <w:tcPr>
            <w:tcW w:w="524" w:type="pct"/>
            <w:tcBorders>
              <w:top w:val="single" w:sz="4" w:space="0" w:color="auto"/>
            </w:tcBorders>
          </w:tcPr>
          <w:p w:rsidR="005E4F6E" w:rsidRPr="00F61AD0" w:rsidRDefault="005E4F6E" w:rsidP="005E4F6E">
            <w:pPr>
              <w:pStyle w:val="TableText"/>
              <w:rPr>
                <w:sz w:val="19"/>
                <w:szCs w:val="19"/>
              </w:rPr>
            </w:pPr>
            <w:r w:rsidRPr="00F61AD0">
              <w:rPr>
                <w:w w:val="105"/>
                <w:sz w:val="19"/>
                <w:szCs w:val="19"/>
              </w:rPr>
              <w:t>10</w:t>
            </w:r>
          </w:p>
        </w:tc>
        <w:tc>
          <w:tcPr>
            <w:tcW w:w="524" w:type="pct"/>
            <w:tcBorders>
              <w:top w:val="single" w:sz="4" w:space="0" w:color="auto"/>
            </w:tcBorders>
          </w:tcPr>
          <w:p w:rsidR="005E4F6E" w:rsidRPr="00F61AD0" w:rsidRDefault="005E4F6E" w:rsidP="005E4F6E">
            <w:pPr>
              <w:pStyle w:val="TableText"/>
              <w:rPr>
                <w:sz w:val="19"/>
                <w:szCs w:val="19"/>
              </w:rPr>
            </w:pPr>
            <w:r w:rsidRPr="00F61AD0">
              <w:rPr>
                <w:w w:val="105"/>
                <w:sz w:val="19"/>
                <w:szCs w:val="19"/>
              </w:rPr>
              <w:t>83.3</w:t>
            </w:r>
          </w:p>
        </w:tc>
        <w:tc>
          <w:tcPr>
            <w:tcW w:w="522" w:type="pct"/>
            <w:tcBorders>
              <w:top w:val="single" w:sz="4" w:space="0" w:color="auto"/>
            </w:tcBorders>
          </w:tcPr>
          <w:p w:rsidR="005E4F6E" w:rsidRPr="00F61AD0" w:rsidRDefault="005E4F6E" w:rsidP="005E4F6E">
            <w:pPr>
              <w:pStyle w:val="TableText"/>
              <w:rPr>
                <w:sz w:val="19"/>
                <w:szCs w:val="19"/>
              </w:rPr>
            </w:pPr>
            <w:r w:rsidRPr="00F61AD0">
              <w:rPr>
                <w:w w:val="105"/>
                <w:sz w:val="19"/>
                <w:szCs w:val="19"/>
              </w:rPr>
              <w:t>497</w:t>
            </w:r>
          </w:p>
        </w:tc>
      </w:tr>
      <w:tr w:rsidR="005E4F6E" w:rsidRPr="00F61AD0" w:rsidTr="005E4F6E">
        <w:tc>
          <w:tcPr>
            <w:tcW w:w="1334" w:type="pct"/>
          </w:tcPr>
          <w:p w:rsidR="005E4F6E" w:rsidRPr="00F61AD0" w:rsidRDefault="005E4F6E" w:rsidP="005E4F6E">
            <w:pPr>
              <w:pStyle w:val="TableText"/>
              <w:rPr>
                <w:sz w:val="19"/>
                <w:szCs w:val="19"/>
              </w:rPr>
            </w:pPr>
            <w:r w:rsidRPr="00F61AD0">
              <w:rPr>
                <w:w w:val="105"/>
                <w:sz w:val="19"/>
                <w:szCs w:val="19"/>
              </w:rPr>
              <w:t>Male</w:t>
            </w:r>
          </w:p>
        </w:tc>
        <w:tc>
          <w:tcPr>
            <w:tcW w:w="524" w:type="pct"/>
          </w:tcPr>
          <w:p w:rsidR="005E4F6E" w:rsidRPr="00F61AD0" w:rsidRDefault="005E4F6E" w:rsidP="005E4F6E">
            <w:pPr>
              <w:pStyle w:val="TableText"/>
              <w:rPr>
                <w:sz w:val="19"/>
                <w:szCs w:val="19"/>
              </w:rPr>
            </w:pPr>
            <w:r w:rsidRPr="00F61AD0">
              <w:rPr>
                <w:w w:val="105"/>
                <w:sz w:val="19"/>
                <w:szCs w:val="19"/>
              </w:rPr>
              <w:t>63</w:t>
            </w:r>
          </w:p>
        </w:tc>
        <w:tc>
          <w:tcPr>
            <w:tcW w:w="524" w:type="pct"/>
          </w:tcPr>
          <w:p w:rsidR="005E4F6E" w:rsidRPr="00F61AD0" w:rsidRDefault="005E4F6E" w:rsidP="005E4F6E">
            <w:pPr>
              <w:pStyle w:val="TableText"/>
              <w:rPr>
                <w:sz w:val="19"/>
                <w:szCs w:val="19"/>
              </w:rPr>
            </w:pPr>
            <w:r w:rsidRPr="00F61AD0">
              <w:rPr>
                <w:w w:val="105"/>
                <w:sz w:val="19"/>
                <w:szCs w:val="19"/>
              </w:rPr>
              <w:t>17.3</w:t>
            </w:r>
          </w:p>
        </w:tc>
        <w:tc>
          <w:tcPr>
            <w:tcW w:w="524" w:type="pct"/>
          </w:tcPr>
          <w:p w:rsidR="005E4F6E" w:rsidRPr="00F61AD0" w:rsidRDefault="005E4F6E" w:rsidP="005E4F6E">
            <w:pPr>
              <w:pStyle w:val="TableText"/>
              <w:rPr>
                <w:sz w:val="19"/>
                <w:szCs w:val="19"/>
              </w:rPr>
            </w:pPr>
            <w:r w:rsidRPr="00F61AD0">
              <w:rPr>
                <w:w w:val="105"/>
                <w:sz w:val="19"/>
                <w:szCs w:val="19"/>
              </w:rPr>
              <w:t>43</w:t>
            </w:r>
          </w:p>
        </w:tc>
        <w:tc>
          <w:tcPr>
            <w:tcW w:w="524" w:type="pct"/>
          </w:tcPr>
          <w:p w:rsidR="005E4F6E" w:rsidRPr="00F61AD0" w:rsidRDefault="005E4F6E" w:rsidP="005E4F6E">
            <w:pPr>
              <w:pStyle w:val="TableText"/>
              <w:rPr>
                <w:sz w:val="19"/>
                <w:szCs w:val="19"/>
              </w:rPr>
            </w:pPr>
            <w:r w:rsidRPr="00F61AD0">
              <w:rPr>
                <w:w w:val="105"/>
                <w:sz w:val="19"/>
                <w:szCs w:val="19"/>
              </w:rPr>
              <w:t>18.6</w:t>
            </w:r>
          </w:p>
        </w:tc>
        <w:tc>
          <w:tcPr>
            <w:tcW w:w="524" w:type="pct"/>
          </w:tcPr>
          <w:p w:rsidR="005E4F6E" w:rsidRPr="00F61AD0" w:rsidRDefault="005E4F6E" w:rsidP="005E4F6E">
            <w:pPr>
              <w:pStyle w:val="TableText"/>
              <w:rPr>
                <w:sz w:val="19"/>
                <w:szCs w:val="19"/>
              </w:rPr>
            </w:pPr>
            <w:r w:rsidRPr="00F61AD0">
              <w:rPr>
                <w:w w:val="103"/>
                <w:sz w:val="19"/>
                <w:szCs w:val="19"/>
              </w:rPr>
              <w:t>2</w:t>
            </w:r>
          </w:p>
        </w:tc>
        <w:tc>
          <w:tcPr>
            <w:tcW w:w="524" w:type="pct"/>
          </w:tcPr>
          <w:p w:rsidR="005E4F6E" w:rsidRPr="00F61AD0" w:rsidRDefault="005E4F6E" w:rsidP="005E4F6E">
            <w:pPr>
              <w:pStyle w:val="TableText"/>
              <w:rPr>
                <w:sz w:val="19"/>
                <w:szCs w:val="19"/>
              </w:rPr>
            </w:pPr>
            <w:r w:rsidRPr="00F61AD0">
              <w:rPr>
                <w:w w:val="105"/>
                <w:sz w:val="19"/>
                <w:szCs w:val="19"/>
              </w:rPr>
              <w:t>16.7</w:t>
            </w:r>
          </w:p>
        </w:tc>
        <w:tc>
          <w:tcPr>
            <w:tcW w:w="522" w:type="pct"/>
          </w:tcPr>
          <w:p w:rsidR="005E4F6E" w:rsidRPr="00F61AD0" w:rsidRDefault="005E4F6E" w:rsidP="005E4F6E">
            <w:pPr>
              <w:pStyle w:val="TableText"/>
              <w:rPr>
                <w:sz w:val="19"/>
                <w:szCs w:val="19"/>
              </w:rPr>
            </w:pPr>
            <w:r w:rsidRPr="00F61AD0">
              <w:rPr>
                <w:w w:val="105"/>
                <w:sz w:val="19"/>
                <w:szCs w:val="19"/>
              </w:rPr>
              <w:t>108</w:t>
            </w:r>
          </w:p>
        </w:tc>
      </w:tr>
      <w:tr w:rsidR="005E4F6E" w:rsidRPr="00F61AD0" w:rsidTr="005E4F6E">
        <w:tc>
          <w:tcPr>
            <w:tcW w:w="1334" w:type="pct"/>
            <w:tcBorders>
              <w:bottom w:val="single" w:sz="4" w:space="0" w:color="auto"/>
            </w:tcBorders>
          </w:tcPr>
          <w:p w:rsidR="005E4F6E" w:rsidRPr="00F61AD0" w:rsidRDefault="005E4F6E" w:rsidP="005E4F6E">
            <w:pPr>
              <w:pStyle w:val="TableText"/>
              <w:rPr>
                <w:sz w:val="19"/>
                <w:szCs w:val="19"/>
              </w:rPr>
            </w:pPr>
            <w:r w:rsidRPr="00F61AD0">
              <w:rPr>
                <w:w w:val="105"/>
                <w:sz w:val="19"/>
                <w:szCs w:val="19"/>
              </w:rPr>
              <w:t>Unspecified</w:t>
            </w:r>
          </w:p>
        </w:tc>
        <w:tc>
          <w:tcPr>
            <w:tcW w:w="524" w:type="pct"/>
            <w:tcBorders>
              <w:bottom w:val="single" w:sz="4" w:space="0" w:color="auto"/>
            </w:tcBorders>
          </w:tcPr>
          <w:p w:rsidR="005E4F6E" w:rsidRPr="00F61AD0" w:rsidRDefault="005E4F6E" w:rsidP="005E4F6E">
            <w:pPr>
              <w:pStyle w:val="TableText"/>
              <w:rPr>
                <w:sz w:val="19"/>
                <w:szCs w:val="19"/>
              </w:rPr>
            </w:pPr>
            <w:r w:rsidRPr="00F61AD0">
              <w:rPr>
                <w:w w:val="103"/>
                <w:sz w:val="19"/>
                <w:szCs w:val="19"/>
              </w:rPr>
              <w:t>1</w:t>
            </w:r>
          </w:p>
        </w:tc>
        <w:tc>
          <w:tcPr>
            <w:tcW w:w="524" w:type="pct"/>
            <w:tcBorders>
              <w:bottom w:val="single" w:sz="4" w:space="0" w:color="auto"/>
            </w:tcBorders>
          </w:tcPr>
          <w:p w:rsidR="005E4F6E" w:rsidRPr="00F61AD0" w:rsidRDefault="005E4F6E" w:rsidP="005E4F6E">
            <w:pPr>
              <w:pStyle w:val="TableText"/>
              <w:rPr>
                <w:sz w:val="19"/>
                <w:szCs w:val="19"/>
              </w:rPr>
            </w:pPr>
            <w:r w:rsidRPr="00F61AD0">
              <w:rPr>
                <w:w w:val="105"/>
                <w:sz w:val="19"/>
                <w:szCs w:val="19"/>
              </w:rPr>
              <w:t>0.3</w:t>
            </w:r>
          </w:p>
        </w:tc>
        <w:tc>
          <w:tcPr>
            <w:tcW w:w="524" w:type="pct"/>
            <w:tcBorders>
              <w:bottom w:val="single" w:sz="4" w:space="0" w:color="auto"/>
            </w:tcBorders>
          </w:tcPr>
          <w:p w:rsidR="005E4F6E" w:rsidRPr="00F61AD0" w:rsidRDefault="005E4F6E" w:rsidP="005E4F6E">
            <w:pPr>
              <w:pStyle w:val="TableText"/>
              <w:rPr>
                <w:sz w:val="19"/>
                <w:szCs w:val="19"/>
              </w:rPr>
            </w:pPr>
            <w:r w:rsidRPr="00F61AD0">
              <w:rPr>
                <w:w w:val="103"/>
                <w:sz w:val="19"/>
                <w:szCs w:val="19"/>
              </w:rPr>
              <w:t>1</w:t>
            </w:r>
          </w:p>
        </w:tc>
        <w:tc>
          <w:tcPr>
            <w:tcW w:w="524" w:type="pct"/>
            <w:tcBorders>
              <w:bottom w:val="single" w:sz="4" w:space="0" w:color="auto"/>
            </w:tcBorders>
          </w:tcPr>
          <w:p w:rsidR="005E4F6E" w:rsidRPr="00F61AD0" w:rsidRDefault="005E4F6E" w:rsidP="005E4F6E">
            <w:pPr>
              <w:pStyle w:val="TableText"/>
              <w:rPr>
                <w:sz w:val="19"/>
                <w:szCs w:val="19"/>
              </w:rPr>
            </w:pPr>
            <w:r w:rsidRPr="00F61AD0">
              <w:rPr>
                <w:w w:val="105"/>
                <w:sz w:val="19"/>
                <w:szCs w:val="19"/>
              </w:rPr>
              <w:t>0.4</w:t>
            </w:r>
          </w:p>
        </w:tc>
        <w:tc>
          <w:tcPr>
            <w:tcW w:w="524" w:type="pct"/>
            <w:tcBorders>
              <w:bottom w:val="single" w:sz="4" w:space="0" w:color="auto"/>
            </w:tcBorders>
          </w:tcPr>
          <w:p w:rsidR="005E4F6E" w:rsidRPr="00F61AD0" w:rsidRDefault="005E4F6E" w:rsidP="005E4F6E">
            <w:pPr>
              <w:pStyle w:val="TableText"/>
              <w:rPr>
                <w:sz w:val="19"/>
                <w:szCs w:val="19"/>
              </w:rPr>
            </w:pPr>
            <w:r w:rsidRPr="00F61AD0">
              <w:rPr>
                <w:w w:val="103"/>
                <w:sz w:val="19"/>
                <w:szCs w:val="19"/>
              </w:rPr>
              <w:t>-</w:t>
            </w:r>
          </w:p>
        </w:tc>
        <w:tc>
          <w:tcPr>
            <w:tcW w:w="524" w:type="pct"/>
            <w:tcBorders>
              <w:bottom w:val="single" w:sz="4" w:space="0" w:color="auto"/>
            </w:tcBorders>
          </w:tcPr>
          <w:p w:rsidR="005E4F6E" w:rsidRPr="00F61AD0" w:rsidRDefault="005E4F6E" w:rsidP="005E4F6E">
            <w:pPr>
              <w:pStyle w:val="TableText"/>
              <w:rPr>
                <w:sz w:val="19"/>
                <w:szCs w:val="19"/>
              </w:rPr>
            </w:pPr>
            <w:r w:rsidRPr="00F61AD0">
              <w:rPr>
                <w:w w:val="103"/>
                <w:sz w:val="19"/>
                <w:szCs w:val="19"/>
              </w:rPr>
              <w:t>-</w:t>
            </w:r>
          </w:p>
        </w:tc>
        <w:tc>
          <w:tcPr>
            <w:tcW w:w="522" w:type="pct"/>
            <w:tcBorders>
              <w:bottom w:val="single" w:sz="4" w:space="0" w:color="auto"/>
            </w:tcBorders>
          </w:tcPr>
          <w:p w:rsidR="005E4F6E" w:rsidRPr="00F61AD0" w:rsidRDefault="005E4F6E" w:rsidP="005E4F6E">
            <w:pPr>
              <w:pStyle w:val="TableText"/>
              <w:rPr>
                <w:sz w:val="19"/>
                <w:szCs w:val="19"/>
              </w:rPr>
            </w:pPr>
            <w:r w:rsidRPr="00F61AD0">
              <w:rPr>
                <w:w w:val="103"/>
                <w:sz w:val="19"/>
                <w:szCs w:val="19"/>
              </w:rPr>
              <w:t>2</w:t>
            </w:r>
          </w:p>
        </w:tc>
      </w:tr>
      <w:tr w:rsidR="005E4F6E" w:rsidRPr="00F61AD0" w:rsidTr="005E4F6E">
        <w:tc>
          <w:tcPr>
            <w:tcW w:w="1334" w:type="pct"/>
            <w:tcBorders>
              <w:top w:val="single" w:sz="4" w:space="0" w:color="auto"/>
              <w:left w:val="single" w:sz="4" w:space="0" w:color="auto"/>
              <w:bottom w:val="single" w:sz="4" w:space="0" w:color="auto"/>
              <w:right w:val="nil"/>
            </w:tcBorders>
            <w:shd w:val="clear" w:color="auto" w:fill="F2F2F2" w:themeFill="background1" w:themeFillShade="F2"/>
          </w:tcPr>
          <w:p w:rsidR="005E4F6E" w:rsidRPr="00F61AD0" w:rsidRDefault="005E4F6E" w:rsidP="005E4F6E">
            <w:pPr>
              <w:pStyle w:val="TableText"/>
              <w:rPr>
                <w:b/>
                <w:sz w:val="19"/>
                <w:szCs w:val="19"/>
              </w:rPr>
            </w:pPr>
            <w:r w:rsidRPr="00F61AD0">
              <w:rPr>
                <w:b/>
                <w:w w:val="105"/>
                <w:sz w:val="19"/>
                <w:szCs w:val="19"/>
              </w:rPr>
              <w:t>Equity Groups</w:t>
            </w:r>
          </w:p>
        </w:tc>
        <w:tc>
          <w:tcPr>
            <w:tcW w:w="524" w:type="pct"/>
            <w:tcBorders>
              <w:top w:val="single" w:sz="4" w:space="0" w:color="auto"/>
              <w:left w:val="nil"/>
              <w:bottom w:val="single" w:sz="4" w:space="0" w:color="auto"/>
              <w:right w:val="nil"/>
            </w:tcBorders>
            <w:shd w:val="clear" w:color="auto" w:fill="F2F2F2" w:themeFill="background1" w:themeFillShade="F2"/>
          </w:tcPr>
          <w:p w:rsidR="005E4F6E" w:rsidRPr="00F61AD0" w:rsidRDefault="005E4F6E" w:rsidP="005E4F6E">
            <w:pPr>
              <w:pStyle w:val="TableText"/>
              <w:rPr>
                <w:rFonts w:ascii="Times New Roman"/>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5E4F6E" w:rsidRPr="00F61AD0" w:rsidRDefault="005E4F6E" w:rsidP="005E4F6E">
            <w:pPr>
              <w:pStyle w:val="TableText"/>
              <w:rPr>
                <w:rFonts w:ascii="Times New Roman"/>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5E4F6E" w:rsidRPr="00F61AD0" w:rsidRDefault="005E4F6E" w:rsidP="005E4F6E">
            <w:pPr>
              <w:pStyle w:val="TableText"/>
              <w:rPr>
                <w:rFonts w:ascii="Times New Roman"/>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5E4F6E" w:rsidRPr="00F61AD0" w:rsidRDefault="005E4F6E" w:rsidP="005E4F6E">
            <w:pPr>
              <w:pStyle w:val="TableText"/>
              <w:rPr>
                <w:rFonts w:ascii="Times New Roman"/>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5E4F6E" w:rsidRPr="00F61AD0" w:rsidRDefault="005E4F6E" w:rsidP="005E4F6E">
            <w:pPr>
              <w:pStyle w:val="TableText"/>
              <w:rPr>
                <w:rFonts w:ascii="Times New Roman"/>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5E4F6E" w:rsidRPr="00F61AD0" w:rsidRDefault="005E4F6E" w:rsidP="005E4F6E">
            <w:pPr>
              <w:pStyle w:val="TableText"/>
              <w:rPr>
                <w:rFonts w:ascii="Times New Roman"/>
                <w:sz w:val="19"/>
                <w:szCs w:val="19"/>
              </w:rPr>
            </w:pPr>
          </w:p>
        </w:tc>
        <w:tc>
          <w:tcPr>
            <w:tcW w:w="522" w:type="pct"/>
            <w:tcBorders>
              <w:top w:val="single" w:sz="4" w:space="0" w:color="auto"/>
              <w:left w:val="nil"/>
              <w:bottom w:val="single" w:sz="4" w:space="0" w:color="auto"/>
              <w:right w:val="single" w:sz="4" w:space="0" w:color="auto"/>
            </w:tcBorders>
            <w:shd w:val="clear" w:color="auto" w:fill="F2F2F2" w:themeFill="background1" w:themeFillShade="F2"/>
          </w:tcPr>
          <w:p w:rsidR="005E4F6E" w:rsidRPr="00F61AD0" w:rsidRDefault="005E4F6E" w:rsidP="005E4F6E">
            <w:pPr>
              <w:pStyle w:val="TableText"/>
              <w:rPr>
                <w:rFonts w:ascii="Times New Roman"/>
                <w:sz w:val="19"/>
                <w:szCs w:val="19"/>
              </w:rPr>
            </w:pPr>
          </w:p>
        </w:tc>
      </w:tr>
      <w:tr w:rsidR="005E4F6E" w:rsidRPr="00F61AD0" w:rsidTr="005E4F6E">
        <w:tc>
          <w:tcPr>
            <w:tcW w:w="1334" w:type="pct"/>
            <w:tcBorders>
              <w:top w:val="single" w:sz="4" w:space="0" w:color="auto"/>
            </w:tcBorders>
          </w:tcPr>
          <w:p w:rsidR="005E4F6E" w:rsidRPr="00F61AD0" w:rsidRDefault="005E4F6E" w:rsidP="005E4F6E">
            <w:pPr>
              <w:pStyle w:val="TableText"/>
              <w:rPr>
                <w:sz w:val="19"/>
                <w:szCs w:val="19"/>
              </w:rPr>
            </w:pPr>
            <w:r w:rsidRPr="00F61AD0">
              <w:rPr>
                <w:w w:val="105"/>
                <w:sz w:val="19"/>
                <w:szCs w:val="19"/>
              </w:rPr>
              <w:t>ATSI</w:t>
            </w:r>
          </w:p>
        </w:tc>
        <w:tc>
          <w:tcPr>
            <w:tcW w:w="524" w:type="pct"/>
            <w:tcBorders>
              <w:top w:val="single" w:sz="4" w:space="0" w:color="auto"/>
            </w:tcBorders>
          </w:tcPr>
          <w:p w:rsidR="005E4F6E" w:rsidRPr="00F61AD0" w:rsidRDefault="005E4F6E" w:rsidP="005E4F6E">
            <w:pPr>
              <w:pStyle w:val="TableText"/>
              <w:rPr>
                <w:sz w:val="19"/>
                <w:szCs w:val="19"/>
              </w:rPr>
            </w:pPr>
            <w:r w:rsidRPr="00F61AD0">
              <w:rPr>
                <w:w w:val="103"/>
                <w:sz w:val="19"/>
                <w:szCs w:val="19"/>
              </w:rPr>
              <w:t>4</w:t>
            </w:r>
          </w:p>
        </w:tc>
        <w:tc>
          <w:tcPr>
            <w:tcW w:w="524" w:type="pct"/>
            <w:tcBorders>
              <w:top w:val="single" w:sz="4" w:space="0" w:color="auto"/>
            </w:tcBorders>
          </w:tcPr>
          <w:p w:rsidR="005E4F6E" w:rsidRPr="00F61AD0" w:rsidRDefault="005E4F6E" w:rsidP="005E4F6E">
            <w:pPr>
              <w:pStyle w:val="TableText"/>
              <w:rPr>
                <w:sz w:val="19"/>
                <w:szCs w:val="19"/>
              </w:rPr>
            </w:pPr>
            <w:r w:rsidRPr="00F61AD0">
              <w:rPr>
                <w:w w:val="105"/>
                <w:sz w:val="19"/>
                <w:szCs w:val="19"/>
              </w:rPr>
              <w:t>1.1</w:t>
            </w:r>
          </w:p>
        </w:tc>
        <w:tc>
          <w:tcPr>
            <w:tcW w:w="524" w:type="pct"/>
            <w:tcBorders>
              <w:top w:val="single" w:sz="4" w:space="0" w:color="auto"/>
            </w:tcBorders>
          </w:tcPr>
          <w:p w:rsidR="005E4F6E" w:rsidRPr="00F61AD0" w:rsidRDefault="005E4F6E" w:rsidP="005E4F6E">
            <w:pPr>
              <w:pStyle w:val="TableText"/>
              <w:rPr>
                <w:sz w:val="19"/>
                <w:szCs w:val="19"/>
              </w:rPr>
            </w:pPr>
            <w:r w:rsidRPr="00F61AD0">
              <w:rPr>
                <w:w w:val="103"/>
                <w:sz w:val="19"/>
                <w:szCs w:val="19"/>
              </w:rPr>
              <w:t>8</w:t>
            </w:r>
          </w:p>
        </w:tc>
        <w:tc>
          <w:tcPr>
            <w:tcW w:w="524" w:type="pct"/>
            <w:tcBorders>
              <w:top w:val="single" w:sz="4" w:space="0" w:color="auto"/>
            </w:tcBorders>
          </w:tcPr>
          <w:p w:rsidR="005E4F6E" w:rsidRPr="00F61AD0" w:rsidRDefault="005E4F6E" w:rsidP="005E4F6E">
            <w:pPr>
              <w:pStyle w:val="TableText"/>
              <w:rPr>
                <w:sz w:val="19"/>
                <w:szCs w:val="19"/>
              </w:rPr>
            </w:pPr>
            <w:r w:rsidRPr="00F61AD0">
              <w:rPr>
                <w:w w:val="105"/>
                <w:sz w:val="19"/>
                <w:szCs w:val="19"/>
              </w:rPr>
              <w:t>3.5</w:t>
            </w:r>
          </w:p>
        </w:tc>
        <w:tc>
          <w:tcPr>
            <w:tcW w:w="524" w:type="pct"/>
            <w:tcBorders>
              <w:top w:val="single" w:sz="4" w:space="0" w:color="auto"/>
            </w:tcBorders>
          </w:tcPr>
          <w:p w:rsidR="005E4F6E" w:rsidRPr="00F61AD0" w:rsidRDefault="005E4F6E" w:rsidP="005E4F6E">
            <w:pPr>
              <w:pStyle w:val="TableText"/>
              <w:rPr>
                <w:sz w:val="19"/>
                <w:szCs w:val="19"/>
              </w:rPr>
            </w:pPr>
            <w:r w:rsidRPr="00F61AD0">
              <w:rPr>
                <w:w w:val="103"/>
                <w:sz w:val="19"/>
                <w:szCs w:val="19"/>
              </w:rPr>
              <w:t>0</w:t>
            </w:r>
          </w:p>
        </w:tc>
        <w:tc>
          <w:tcPr>
            <w:tcW w:w="524" w:type="pct"/>
            <w:tcBorders>
              <w:top w:val="single" w:sz="4" w:space="0" w:color="auto"/>
            </w:tcBorders>
          </w:tcPr>
          <w:p w:rsidR="005E4F6E" w:rsidRPr="00F61AD0" w:rsidRDefault="005E4F6E" w:rsidP="005E4F6E">
            <w:pPr>
              <w:pStyle w:val="TableText"/>
              <w:rPr>
                <w:sz w:val="19"/>
                <w:szCs w:val="19"/>
              </w:rPr>
            </w:pPr>
            <w:r w:rsidRPr="00F61AD0">
              <w:rPr>
                <w:w w:val="105"/>
                <w:sz w:val="19"/>
                <w:szCs w:val="19"/>
              </w:rPr>
              <w:t>0.0</w:t>
            </w:r>
          </w:p>
        </w:tc>
        <w:tc>
          <w:tcPr>
            <w:tcW w:w="522" w:type="pct"/>
            <w:tcBorders>
              <w:top w:val="single" w:sz="4" w:space="0" w:color="auto"/>
            </w:tcBorders>
          </w:tcPr>
          <w:p w:rsidR="005E4F6E" w:rsidRPr="00F61AD0" w:rsidRDefault="005E4F6E" w:rsidP="005E4F6E">
            <w:pPr>
              <w:pStyle w:val="TableText"/>
              <w:rPr>
                <w:sz w:val="19"/>
                <w:szCs w:val="19"/>
              </w:rPr>
            </w:pPr>
            <w:r w:rsidRPr="00F61AD0">
              <w:rPr>
                <w:w w:val="105"/>
                <w:sz w:val="19"/>
                <w:szCs w:val="19"/>
              </w:rPr>
              <w:t>12</w:t>
            </w:r>
          </w:p>
        </w:tc>
      </w:tr>
      <w:tr w:rsidR="005E4F6E" w:rsidRPr="00F61AD0" w:rsidTr="005E4F6E">
        <w:tc>
          <w:tcPr>
            <w:tcW w:w="1334" w:type="pct"/>
          </w:tcPr>
          <w:p w:rsidR="005E4F6E" w:rsidRPr="00F61AD0" w:rsidRDefault="005E4F6E" w:rsidP="005E4F6E">
            <w:pPr>
              <w:pStyle w:val="TableText"/>
              <w:rPr>
                <w:sz w:val="19"/>
                <w:szCs w:val="19"/>
              </w:rPr>
            </w:pPr>
            <w:r w:rsidRPr="00F61AD0">
              <w:rPr>
                <w:w w:val="105"/>
                <w:sz w:val="19"/>
                <w:szCs w:val="19"/>
              </w:rPr>
              <w:t>FiF</w:t>
            </w:r>
          </w:p>
        </w:tc>
        <w:tc>
          <w:tcPr>
            <w:tcW w:w="524" w:type="pct"/>
          </w:tcPr>
          <w:p w:rsidR="005E4F6E" w:rsidRPr="00F61AD0" w:rsidRDefault="005E4F6E" w:rsidP="005E4F6E">
            <w:pPr>
              <w:pStyle w:val="TableText"/>
              <w:rPr>
                <w:sz w:val="19"/>
                <w:szCs w:val="19"/>
              </w:rPr>
            </w:pPr>
            <w:r w:rsidRPr="00F61AD0">
              <w:rPr>
                <w:w w:val="105"/>
                <w:sz w:val="19"/>
                <w:szCs w:val="19"/>
              </w:rPr>
              <w:t>166</w:t>
            </w:r>
          </w:p>
        </w:tc>
        <w:tc>
          <w:tcPr>
            <w:tcW w:w="524" w:type="pct"/>
          </w:tcPr>
          <w:p w:rsidR="005E4F6E" w:rsidRPr="00F61AD0" w:rsidRDefault="005E4F6E" w:rsidP="005E4F6E">
            <w:pPr>
              <w:pStyle w:val="TableText"/>
              <w:rPr>
                <w:sz w:val="19"/>
                <w:szCs w:val="19"/>
              </w:rPr>
            </w:pPr>
            <w:r w:rsidRPr="00F61AD0">
              <w:rPr>
                <w:w w:val="105"/>
                <w:sz w:val="19"/>
                <w:szCs w:val="19"/>
              </w:rPr>
              <w:t>45.6</w:t>
            </w:r>
          </w:p>
        </w:tc>
        <w:tc>
          <w:tcPr>
            <w:tcW w:w="524" w:type="pct"/>
          </w:tcPr>
          <w:p w:rsidR="005E4F6E" w:rsidRPr="00F61AD0" w:rsidRDefault="005E4F6E" w:rsidP="005E4F6E">
            <w:pPr>
              <w:pStyle w:val="TableText"/>
              <w:rPr>
                <w:sz w:val="19"/>
                <w:szCs w:val="19"/>
              </w:rPr>
            </w:pPr>
            <w:r w:rsidRPr="00F61AD0">
              <w:rPr>
                <w:w w:val="105"/>
                <w:sz w:val="19"/>
                <w:szCs w:val="19"/>
              </w:rPr>
              <w:t>106</w:t>
            </w:r>
          </w:p>
        </w:tc>
        <w:tc>
          <w:tcPr>
            <w:tcW w:w="524" w:type="pct"/>
          </w:tcPr>
          <w:p w:rsidR="005E4F6E" w:rsidRPr="00F61AD0" w:rsidRDefault="005E4F6E" w:rsidP="005E4F6E">
            <w:pPr>
              <w:pStyle w:val="TableText"/>
              <w:rPr>
                <w:sz w:val="19"/>
                <w:szCs w:val="19"/>
              </w:rPr>
            </w:pPr>
            <w:r w:rsidRPr="00F61AD0">
              <w:rPr>
                <w:w w:val="105"/>
                <w:sz w:val="19"/>
                <w:szCs w:val="19"/>
              </w:rPr>
              <w:t>45.9</w:t>
            </w:r>
          </w:p>
        </w:tc>
        <w:tc>
          <w:tcPr>
            <w:tcW w:w="524" w:type="pct"/>
          </w:tcPr>
          <w:p w:rsidR="005E4F6E" w:rsidRPr="00F61AD0" w:rsidRDefault="005E4F6E" w:rsidP="005E4F6E">
            <w:pPr>
              <w:pStyle w:val="TableText"/>
              <w:rPr>
                <w:sz w:val="19"/>
                <w:szCs w:val="19"/>
              </w:rPr>
            </w:pPr>
            <w:r w:rsidRPr="00F61AD0">
              <w:rPr>
                <w:w w:val="103"/>
                <w:sz w:val="19"/>
                <w:szCs w:val="19"/>
              </w:rPr>
              <w:t>7</w:t>
            </w:r>
          </w:p>
        </w:tc>
        <w:tc>
          <w:tcPr>
            <w:tcW w:w="524" w:type="pct"/>
          </w:tcPr>
          <w:p w:rsidR="005E4F6E" w:rsidRPr="00F61AD0" w:rsidRDefault="005E4F6E" w:rsidP="005E4F6E">
            <w:pPr>
              <w:pStyle w:val="TableText"/>
              <w:rPr>
                <w:sz w:val="19"/>
                <w:szCs w:val="19"/>
              </w:rPr>
            </w:pPr>
            <w:r w:rsidRPr="00F61AD0">
              <w:rPr>
                <w:w w:val="105"/>
                <w:sz w:val="19"/>
                <w:szCs w:val="19"/>
              </w:rPr>
              <w:t>58.3</w:t>
            </w:r>
          </w:p>
        </w:tc>
        <w:tc>
          <w:tcPr>
            <w:tcW w:w="522" w:type="pct"/>
          </w:tcPr>
          <w:p w:rsidR="005E4F6E" w:rsidRPr="00F61AD0" w:rsidRDefault="005E4F6E" w:rsidP="005E4F6E">
            <w:pPr>
              <w:pStyle w:val="TableText"/>
              <w:rPr>
                <w:sz w:val="19"/>
                <w:szCs w:val="19"/>
              </w:rPr>
            </w:pPr>
            <w:r w:rsidRPr="00F61AD0">
              <w:rPr>
                <w:w w:val="105"/>
                <w:sz w:val="19"/>
                <w:szCs w:val="19"/>
              </w:rPr>
              <w:t>279</w:t>
            </w:r>
          </w:p>
        </w:tc>
      </w:tr>
      <w:tr w:rsidR="005E4F6E" w:rsidRPr="00F61AD0" w:rsidTr="005E4F6E">
        <w:tc>
          <w:tcPr>
            <w:tcW w:w="1334" w:type="pct"/>
            <w:tcBorders>
              <w:bottom w:val="single" w:sz="4" w:space="0" w:color="auto"/>
            </w:tcBorders>
          </w:tcPr>
          <w:p w:rsidR="005E4F6E" w:rsidRPr="00F61AD0" w:rsidRDefault="005E4F6E" w:rsidP="005E4F6E">
            <w:pPr>
              <w:pStyle w:val="TableText"/>
              <w:rPr>
                <w:sz w:val="19"/>
                <w:szCs w:val="19"/>
              </w:rPr>
            </w:pPr>
            <w:r w:rsidRPr="00F61AD0">
              <w:rPr>
                <w:w w:val="105"/>
                <w:sz w:val="19"/>
                <w:szCs w:val="19"/>
              </w:rPr>
              <w:t>Disability</w:t>
            </w:r>
          </w:p>
        </w:tc>
        <w:tc>
          <w:tcPr>
            <w:tcW w:w="524" w:type="pct"/>
            <w:tcBorders>
              <w:bottom w:val="single" w:sz="4" w:space="0" w:color="auto"/>
            </w:tcBorders>
          </w:tcPr>
          <w:p w:rsidR="005E4F6E" w:rsidRPr="00F61AD0" w:rsidRDefault="005E4F6E" w:rsidP="005E4F6E">
            <w:pPr>
              <w:pStyle w:val="TableText"/>
              <w:rPr>
                <w:sz w:val="19"/>
                <w:szCs w:val="19"/>
              </w:rPr>
            </w:pPr>
            <w:r w:rsidRPr="00F61AD0">
              <w:rPr>
                <w:w w:val="105"/>
                <w:sz w:val="19"/>
                <w:szCs w:val="19"/>
              </w:rPr>
              <w:t>20</w:t>
            </w:r>
          </w:p>
        </w:tc>
        <w:tc>
          <w:tcPr>
            <w:tcW w:w="524" w:type="pct"/>
            <w:tcBorders>
              <w:bottom w:val="single" w:sz="4" w:space="0" w:color="auto"/>
            </w:tcBorders>
          </w:tcPr>
          <w:p w:rsidR="005E4F6E" w:rsidRPr="00F61AD0" w:rsidRDefault="005E4F6E" w:rsidP="005E4F6E">
            <w:pPr>
              <w:pStyle w:val="TableText"/>
              <w:rPr>
                <w:sz w:val="19"/>
                <w:szCs w:val="19"/>
              </w:rPr>
            </w:pPr>
            <w:r w:rsidRPr="00F61AD0">
              <w:rPr>
                <w:w w:val="105"/>
                <w:sz w:val="19"/>
                <w:szCs w:val="19"/>
              </w:rPr>
              <w:t>5.5</w:t>
            </w:r>
          </w:p>
        </w:tc>
        <w:tc>
          <w:tcPr>
            <w:tcW w:w="524" w:type="pct"/>
            <w:tcBorders>
              <w:bottom w:val="single" w:sz="4" w:space="0" w:color="auto"/>
            </w:tcBorders>
          </w:tcPr>
          <w:p w:rsidR="005E4F6E" w:rsidRPr="00F61AD0" w:rsidRDefault="005E4F6E" w:rsidP="005E4F6E">
            <w:pPr>
              <w:pStyle w:val="TableText"/>
              <w:rPr>
                <w:sz w:val="19"/>
                <w:szCs w:val="19"/>
              </w:rPr>
            </w:pPr>
            <w:r w:rsidRPr="00F61AD0">
              <w:rPr>
                <w:w w:val="105"/>
                <w:sz w:val="19"/>
                <w:szCs w:val="19"/>
              </w:rPr>
              <w:t>37</w:t>
            </w:r>
          </w:p>
        </w:tc>
        <w:tc>
          <w:tcPr>
            <w:tcW w:w="524" w:type="pct"/>
            <w:tcBorders>
              <w:bottom w:val="single" w:sz="4" w:space="0" w:color="auto"/>
            </w:tcBorders>
          </w:tcPr>
          <w:p w:rsidR="005E4F6E" w:rsidRPr="00F61AD0" w:rsidRDefault="005E4F6E" w:rsidP="005E4F6E">
            <w:pPr>
              <w:pStyle w:val="TableText"/>
              <w:rPr>
                <w:sz w:val="19"/>
                <w:szCs w:val="19"/>
              </w:rPr>
            </w:pPr>
            <w:r w:rsidRPr="00F61AD0">
              <w:rPr>
                <w:w w:val="105"/>
                <w:sz w:val="19"/>
                <w:szCs w:val="19"/>
              </w:rPr>
              <w:t>16.0</w:t>
            </w:r>
          </w:p>
        </w:tc>
        <w:tc>
          <w:tcPr>
            <w:tcW w:w="524" w:type="pct"/>
            <w:tcBorders>
              <w:bottom w:val="single" w:sz="4" w:space="0" w:color="auto"/>
            </w:tcBorders>
          </w:tcPr>
          <w:p w:rsidR="005E4F6E" w:rsidRPr="00F61AD0" w:rsidRDefault="005E4F6E" w:rsidP="005E4F6E">
            <w:pPr>
              <w:pStyle w:val="TableText"/>
              <w:rPr>
                <w:sz w:val="19"/>
                <w:szCs w:val="19"/>
              </w:rPr>
            </w:pPr>
            <w:r w:rsidRPr="00F61AD0">
              <w:rPr>
                <w:w w:val="103"/>
                <w:sz w:val="19"/>
                <w:szCs w:val="19"/>
              </w:rPr>
              <w:t>-</w:t>
            </w:r>
          </w:p>
        </w:tc>
        <w:tc>
          <w:tcPr>
            <w:tcW w:w="524" w:type="pct"/>
            <w:tcBorders>
              <w:bottom w:val="single" w:sz="4" w:space="0" w:color="auto"/>
            </w:tcBorders>
          </w:tcPr>
          <w:p w:rsidR="005E4F6E" w:rsidRPr="00F61AD0" w:rsidRDefault="005E4F6E" w:rsidP="005E4F6E">
            <w:pPr>
              <w:pStyle w:val="TableText"/>
              <w:rPr>
                <w:sz w:val="19"/>
                <w:szCs w:val="19"/>
              </w:rPr>
            </w:pPr>
            <w:r w:rsidRPr="00F61AD0">
              <w:rPr>
                <w:w w:val="103"/>
                <w:sz w:val="19"/>
                <w:szCs w:val="19"/>
              </w:rPr>
              <w:t>-</w:t>
            </w:r>
          </w:p>
        </w:tc>
        <w:tc>
          <w:tcPr>
            <w:tcW w:w="522" w:type="pct"/>
            <w:tcBorders>
              <w:bottom w:val="single" w:sz="4" w:space="0" w:color="auto"/>
            </w:tcBorders>
          </w:tcPr>
          <w:p w:rsidR="005E4F6E" w:rsidRPr="00F61AD0" w:rsidRDefault="005E4F6E" w:rsidP="005E4F6E">
            <w:pPr>
              <w:pStyle w:val="TableText"/>
              <w:rPr>
                <w:sz w:val="19"/>
                <w:szCs w:val="19"/>
              </w:rPr>
            </w:pPr>
            <w:r w:rsidRPr="00F61AD0">
              <w:rPr>
                <w:w w:val="105"/>
                <w:sz w:val="19"/>
                <w:szCs w:val="19"/>
              </w:rPr>
              <w:t>57</w:t>
            </w:r>
          </w:p>
        </w:tc>
      </w:tr>
      <w:tr w:rsidR="005E4F6E" w:rsidRPr="00F61AD0" w:rsidTr="005E4F6E">
        <w:tc>
          <w:tcPr>
            <w:tcW w:w="1334" w:type="pct"/>
            <w:tcBorders>
              <w:top w:val="single" w:sz="4" w:space="0" w:color="auto"/>
              <w:left w:val="single" w:sz="4" w:space="0" w:color="auto"/>
              <w:bottom w:val="single" w:sz="4" w:space="0" w:color="auto"/>
              <w:right w:val="nil"/>
            </w:tcBorders>
            <w:shd w:val="clear" w:color="auto" w:fill="F2F2F2" w:themeFill="background1" w:themeFillShade="F2"/>
          </w:tcPr>
          <w:p w:rsidR="005E4F6E" w:rsidRPr="00F61AD0" w:rsidRDefault="005E4F6E" w:rsidP="005E4F6E">
            <w:pPr>
              <w:pStyle w:val="TableText"/>
              <w:rPr>
                <w:b/>
                <w:sz w:val="19"/>
                <w:szCs w:val="19"/>
              </w:rPr>
            </w:pPr>
            <w:r w:rsidRPr="00F61AD0">
              <w:rPr>
                <w:b/>
                <w:w w:val="105"/>
                <w:sz w:val="19"/>
                <w:szCs w:val="19"/>
              </w:rPr>
              <w:t>Carer responsibilities</w:t>
            </w:r>
          </w:p>
        </w:tc>
        <w:tc>
          <w:tcPr>
            <w:tcW w:w="524" w:type="pct"/>
            <w:tcBorders>
              <w:top w:val="single" w:sz="4" w:space="0" w:color="auto"/>
              <w:left w:val="nil"/>
              <w:bottom w:val="single" w:sz="4" w:space="0" w:color="auto"/>
              <w:right w:val="nil"/>
            </w:tcBorders>
            <w:shd w:val="clear" w:color="auto" w:fill="F2F2F2" w:themeFill="background1" w:themeFillShade="F2"/>
          </w:tcPr>
          <w:p w:rsidR="005E4F6E" w:rsidRPr="00F61AD0" w:rsidRDefault="005E4F6E" w:rsidP="005E4F6E">
            <w:pPr>
              <w:pStyle w:val="TableText"/>
              <w:rPr>
                <w:rFonts w:ascii="Times New Roman"/>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5E4F6E" w:rsidRPr="00F61AD0" w:rsidRDefault="005E4F6E" w:rsidP="005E4F6E">
            <w:pPr>
              <w:pStyle w:val="TableText"/>
              <w:rPr>
                <w:rFonts w:ascii="Times New Roman"/>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5E4F6E" w:rsidRPr="00F61AD0" w:rsidRDefault="005E4F6E" w:rsidP="005E4F6E">
            <w:pPr>
              <w:pStyle w:val="TableText"/>
              <w:rPr>
                <w:rFonts w:ascii="Times New Roman"/>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5E4F6E" w:rsidRPr="00F61AD0" w:rsidRDefault="005E4F6E" w:rsidP="005E4F6E">
            <w:pPr>
              <w:pStyle w:val="TableText"/>
              <w:rPr>
                <w:rFonts w:ascii="Times New Roman"/>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5E4F6E" w:rsidRPr="00F61AD0" w:rsidRDefault="005E4F6E" w:rsidP="005E4F6E">
            <w:pPr>
              <w:pStyle w:val="TableText"/>
              <w:rPr>
                <w:rFonts w:ascii="Times New Roman"/>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5E4F6E" w:rsidRPr="00F61AD0" w:rsidRDefault="005E4F6E" w:rsidP="005E4F6E">
            <w:pPr>
              <w:pStyle w:val="TableText"/>
              <w:rPr>
                <w:rFonts w:ascii="Times New Roman"/>
                <w:sz w:val="19"/>
                <w:szCs w:val="19"/>
              </w:rPr>
            </w:pPr>
          </w:p>
        </w:tc>
        <w:tc>
          <w:tcPr>
            <w:tcW w:w="522" w:type="pct"/>
            <w:tcBorders>
              <w:top w:val="single" w:sz="4" w:space="0" w:color="auto"/>
              <w:left w:val="nil"/>
              <w:bottom w:val="single" w:sz="4" w:space="0" w:color="auto"/>
              <w:right w:val="single" w:sz="4" w:space="0" w:color="auto"/>
            </w:tcBorders>
            <w:shd w:val="clear" w:color="auto" w:fill="F2F2F2" w:themeFill="background1" w:themeFillShade="F2"/>
          </w:tcPr>
          <w:p w:rsidR="005E4F6E" w:rsidRPr="00F61AD0" w:rsidRDefault="005E4F6E" w:rsidP="005E4F6E">
            <w:pPr>
              <w:pStyle w:val="TableText"/>
              <w:rPr>
                <w:rFonts w:ascii="Times New Roman"/>
                <w:sz w:val="19"/>
                <w:szCs w:val="19"/>
              </w:rPr>
            </w:pPr>
          </w:p>
        </w:tc>
      </w:tr>
      <w:tr w:rsidR="005E4F6E" w:rsidRPr="00F61AD0" w:rsidTr="005E4F6E">
        <w:tc>
          <w:tcPr>
            <w:tcW w:w="1334" w:type="pct"/>
            <w:tcBorders>
              <w:top w:val="single" w:sz="4" w:space="0" w:color="auto"/>
            </w:tcBorders>
          </w:tcPr>
          <w:p w:rsidR="005E4F6E" w:rsidRPr="00F61AD0" w:rsidRDefault="005E4F6E" w:rsidP="005E4F6E">
            <w:pPr>
              <w:pStyle w:val="TableText"/>
              <w:rPr>
                <w:sz w:val="19"/>
                <w:szCs w:val="19"/>
              </w:rPr>
            </w:pPr>
            <w:r w:rsidRPr="00F61AD0">
              <w:rPr>
                <w:w w:val="105"/>
                <w:sz w:val="19"/>
                <w:szCs w:val="19"/>
              </w:rPr>
              <w:t>Children</w:t>
            </w:r>
          </w:p>
        </w:tc>
        <w:tc>
          <w:tcPr>
            <w:tcW w:w="524" w:type="pct"/>
            <w:tcBorders>
              <w:top w:val="single" w:sz="4" w:space="0" w:color="auto"/>
            </w:tcBorders>
          </w:tcPr>
          <w:p w:rsidR="005E4F6E" w:rsidRPr="00F61AD0" w:rsidRDefault="005E4F6E" w:rsidP="005E4F6E">
            <w:pPr>
              <w:pStyle w:val="TableText"/>
              <w:rPr>
                <w:sz w:val="19"/>
                <w:szCs w:val="19"/>
              </w:rPr>
            </w:pPr>
            <w:r w:rsidRPr="00F61AD0">
              <w:rPr>
                <w:w w:val="103"/>
                <w:sz w:val="19"/>
                <w:szCs w:val="19"/>
              </w:rPr>
              <w:t>6</w:t>
            </w:r>
          </w:p>
        </w:tc>
        <w:tc>
          <w:tcPr>
            <w:tcW w:w="524" w:type="pct"/>
            <w:tcBorders>
              <w:top w:val="single" w:sz="4" w:space="0" w:color="auto"/>
            </w:tcBorders>
          </w:tcPr>
          <w:p w:rsidR="005E4F6E" w:rsidRPr="00F61AD0" w:rsidRDefault="005E4F6E" w:rsidP="005E4F6E">
            <w:pPr>
              <w:pStyle w:val="TableText"/>
              <w:rPr>
                <w:sz w:val="19"/>
                <w:szCs w:val="19"/>
              </w:rPr>
            </w:pPr>
            <w:r w:rsidRPr="00F61AD0">
              <w:rPr>
                <w:w w:val="105"/>
                <w:sz w:val="19"/>
                <w:szCs w:val="19"/>
              </w:rPr>
              <w:t>1.6</w:t>
            </w:r>
          </w:p>
        </w:tc>
        <w:tc>
          <w:tcPr>
            <w:tcW w:w="524" w:type="pct"/>
            <w:tcBorders>
              <w:top w:val="single" w:sz="4" w:space="0" w:color="auto"/>
            </w:tcBorders>
          </w:tcPr>
          <w:p w:rsidR="005E4F6E" w:rsidRPr="00F61AD0" w:rsidRDefault="005E4F6E" w:rsidP="005E4F6E">
            <w:pPr>
              <w:pStyle w:val="TableText"/>
              <w:rPr>
                <w:sz w:val="19"/>
                <w:szCs w:val="19"/>
              </w:rPr>
            </w:pPr>
            <w:r w:rsidRPr="00F61AD0">
              <w:rPr>
                <w:w w:val="105"/>
                <w:sz w:val="19"/>
                <w:szCs w:val="19"/>
              </w:rPr>
              <w:t>124</w:t>
            </w:r>
          </w:p>
        </w:tc>
        <w:tc>
          <w:tcPr>
            <w:tcW w:w="524" w:type="pct"/>
            <w:tcBorders>
              <w:top w:val="single" w:sz="4" w:space="0" w:color="auto"/>
            </w:tcBorders>
          </w:tcPr>
          <w:p w:rsidR="005E4F6E" w:rsidRPr="00F61AD0" w:rsidRDefault="005E4F6E" w:rsidP="005E4F6E">
            <w:pPr>
              <w:pStyle w:val="TableText"/>
              <w:rPr>
                <w:sz w:val="19"/>
                <w:szCs w:val="19"/>
              </w:rPr>
            </w:pPr>
            <w:r w:rsidRPr="00F61AD0">
              <w:rPr>
                <w:w w:val="105"/>
                <w:sz w:val="19"/>
                <w:szCs w:val="19"/>
              </w:rPr>
              <w:t>53.7</w:t>
            </w:r>
          </w:p>
        </w:tc>
        <w:tc>
          <w:tcPr>
            <w:tcW w:w="524" w:type="pct"/>
            <w:tcBorders>
              <w:top w:val="single" w:sz="4" w:space="0" w:color="auto"/>
            </w:tcBorders>
          </w:tcPr>
          <w:p w:rsidR="005E4F6E" w:rsidRPr="00F61AD0" w:rsidRDefault="005E4F6E" w:rsidP="005E4F6E">
            <w:pPr>
              <w:pStyle w:val="TableText"/>
              <w:rPr>
                <w:sz w:val="19"/>
                <w:szCs w:val="19"/>
              </w:rPr>
            </w:pPr>
            <w:r w:rsidRPr="00F61AD0">
              <w:rPr>
                <w:w w:val="103"/>
                <w:sz w:val="19"/>
                <w:szCs w:val="19"/>
              </w:rPr>
              <w:t>7</w:t>
            </w:r>
          </w:p>
        </w:tc>
        <w:tc>
          <w:tcPr>
            <w:tcW w:w="524" w:type="pct"/>
            <w:tcBorders>
              <w:top w:val="single" w:sz="4" w:space="0" w:color="auto"/>
            </w:tcBorders>
          </w:tcPr>
          <w:p w:rsidR="005E4F6E" w:rsidRPr="00F61AD0" w:rsidRDefault="005E4F6E" w:rsidP="005E4F6E">
            <w:pPr>
              <w:pStyle w:val="TableText"/>
              <w:rPr>
                <w:sz w:val="19"/>
                <w:szCs w:val="19"/>
              </w:rPr>
            </w:pPr>
            <w:r w:rsidRPr="00F61AD0">
              <w:rPr>
                <w:w w:val="105"/>
                <w:sz w:val="19"/>
                <w:szCs w:val="19"/>
              </w:rPr>
              <w:t>58.3</w:t>
            </w:r>
          </w:p>
        </w:tc>
        <w:tc>
          <w:tcPr>
            <w:tcW w:w="522" w:type="pct"/>
            <w:tcBorders>
              <w:top w:val="single" w:sz="4" w:space="0" w:color="auto"/>
            </w:tcBorders>
          </w:tcPr>
          <w:p w:rsidR="005E4F6E" w:rsidRPr="00F61AD0" w:rsidRDefault="005E4F6E" w:rsidP="005E4F6E">
            <w:pPr>
              <w:pStyle w:val="TableText"/>
              <w:rPr>
                <w:sz w:val="19"/>
                <w:szCs w:val="19"/>
              </w:rPr>
            </w:pPr>
            <w:r w:rsidRPr="00F61AD0">
              <w:rPr>
                <w:w w:val="105"/>
                <w:sz w:val="19"/>
                <w:szCs w:val="19"/>
              </w:rPr>
              <w:t>130</w:t>
            </w:r>
          </w:p>
        </w:tc>
      </w:tr>
      <w:tr w:rsidR="005E4F6E" w:rsidRPr="00F61AD0" w:rsidTr="005E4F6E">
        <w:tc>
          <w:tcPr>
            <w:tcW w:w="1334" w:type="pct"/>
            <w:tcBorders>
              <w:bottom w:val="single" w:sz="4" w:space="0" w:color="auto"/>
            </w:tcBorders>
          </w:tcPr>
          <w:p w:rsidR="005E4F6E" w:rsidRPr="00F61AD0" w:rsidRDefault="005E4F6E" w:rsidP="005E4F6E">
            <w:pPr>
              <w:pStyle w:val="TableText"/>
              <w:rPr>
                <w:sz w:val="19"/>
                <w:szCs w:val="19"/>
              </w:rPr>
            </w:pPr>
            <w:r w:rsidRPr="00F61AD0">
              <w:rPr>
                <w:w w:val="105"/>
                <w:sz w:val="19"/>
                <w:szCs w:val="19"/>
              </w:rPr>
              <w:t>Other</w:t>
            </w:r>
          </w:p>
        </w:tc>
        <w:tc>
          <w:tcPr>
            <w:tcW w:w="524" w:type="pct"/>
            <w:tcBorders>
              <w:bottom w:val="single" w:sz="4" w:space="0" w:color="auto"/>
            </w:tcBorders>
          </w:tcPr>
          <w:p w:rsidR="005E4F6E" w:rsidRPr="00F61AD0" w:rsidRDefault="005E4F6E" w:rsidP="005E4F6E">
            <w:pPr>
              <w:pStyle w:val="TableText"/>
              <w:rPr>
                <w:sz w:val="19"/>
                <w:szCs w:val="19"/>
              </w:rPr>
            </w:pPr>
            <w:r w:rsidRPr="00F61AD0">
              <w:rPr>
                <w:w w:val="105"/>
                <w:sz w:val="19"/>
                <w:szCs w:val="19"/>
              </w:rPr>
              <w:t>14</w:t>
            </w:r>
          </w:p>
        </w:tc>
        <w:tc>
          <w:tcPr>
            <w:tcW w:w="524" w:type="pct"/>
            <w:tcBorders>
              <w:bottom w:val="single" w:sz="4" w:space="0" w:color="auto"/>
            </w:tcBorders>
          </w:tcPr>
          <w:p w:rsidR="005E4F6E" w:rsidRPr="00F61AD0" w:rsidRDefault="005E4F6E" w:rsidP="005E4F6E">
            <w:pPr>
              <w:pStyle w:val="TableText"/>
              <w:rPr>
                <w:sz w:val="19"/>
                <w:szCs w:val="19"/>
              </w:rPr>
            </w:pPr>
            <w:r w:rsidRPr="00F61AD0">
              <w:rPr>
                <w:w w:val="105"/>
                <w:sz w:val="19"/>
                <w:szCs w:val="19"/>
              </w:rPr>
              <w:t>3.8</w:t>
            </w:r>
          </w:p>
        </w:tc>
        <w:tc>
          <w:tcPr>
            <w:tcW w:w="524" w:type="pct"/>
            <w:tcBorders>
              <w:bottom w:val="single" w:sz="4" w:space="0" w:color="auto"/>
            </w:tcBorders>
          </w:tcPr>
          <w:p w:rsidR="005E4F6E" w:rsidRPr="00F61AD0" w:rsidRDefault="005E4F6E" w:rsidP="005E4F6E">
            <w:pPr>
              <w:pStyle w:val="TableText"/>
              <w:rPr>
                <w:sz w:val="19"/>
                <w:szCs w:val="19"/>
              </w:rPr>
            </w:pPr>
            <w:r w:rsidRPr="00F61AD0">
              <w:rPr>
                <w:w w:val="105"/>
                <w:sz w:val="19"/>
                <w:szCs w:val="19"/>
              </w:rPr>
              <w:t>25</w:t>
            </w:r>
          </w:p>
        </w:tc>
        <w:tc>
          <w:tcPr>
            <w:tcW w:w="524" w:type="pct"/>
            <w:tcBorders>
              <w:bottom w:val="single" w:sz="4" w:space="0" w:color="auto"/>
            </w:tcBorders>
          </w:tcPr>
          <w:p w:rsidR="005E4F6E" w:rsidRPr="00F61AD0" w:rsidRDefault="005E4F6E" w:rsidP="005E4F6E">
            <w:pPr>
              <w:pStyle w:val="TableText"/>
              <w:rPr>
                <w:sz w:val="19"/>
                <w:szCs w:val="19"/>
              </w:rPr>
            </w:pPr>
            <w:r w:rsidRPr="00F61AD0">
              <w:rPr>
                <w:w w:val="105"/>
                <w:sz w:val="19"/>
                <w:szCs w:val="19"/>
              </w:rPr>
              <w:t>10.8</w:t>
            </w:r>
          </w:p>
        </w:tc>
        <w:tc>
          <w:tcPr>
            <w:tcW w:w="524" w:type="pct"/>
            <w:tcBorders>
              <w:bottom w:val="single" w:sz="4" w:space="0" w:color="auto"/>
            </w:tcBorders>
          </w:tcPr>
          <w:p w:rsidR="005E4F6E" w:rsidRPr="00F61AD0" w:rsidRDefault="005E4F6E" w:rsidP="005E4F6E">
            <w:pPr>
              <w:pStyle w:val="TableText"/>
              <w:rPr>
                <w:sz w:val="19"/>
                <w:szCs w:val="19"/>
              </w:rPr>
            </w:pPr>
            <w:r w:rsidRPr="00F61AD0">
              <w:rPr>
                <w:w w:val="103"/>
                <w:sz w:val="19"/>
                <w:szCs w:val="19"/>
              </w:rPr>
              <w:t>1</w:t>
            </w:r>
          </w:p>
        </w:tc>
        <w:tc>
          <w:tcPr>
            <w:tcW w:w="524" w:type="pct"/>
            <w:tcBorders>
              <w:bottom w:val="single" w:sz="4" w:space="0" w:color="auto"/>
            </w:tcBorders>
          </w:tcPr>
          <w:p w:rsidR="005E4F6E" w:rsidRPr="00F61AD0" w:rsidRDefault="005E4F6E" w:rsidP="005E4F6E">
            <w:pPr>
              <w:pStyle w:val="TableText"/>
              <w:rPr>
                <w:sz w:val="19"/>
                <w:szCs w:val="19"/>
              </w:rPr>
            </w:pPr>
            <w:r w:rsidRPr="00F61AD0">
              <w:rPr>
                <w:w w:val="105"/>
                <w:sz w:val="19"/>
                <w:szCs w:val="19"/>
              </w:rPr>
              <w:t>8.3</w:t>
            </w:r>
          </w:p>
        </w:tc>
        <w:tc>
          <w:tcPr>
            <w:tcW w:w="522" w:type="pct"/>
            <w:tcBorders>
              <w:bottom w:val="single" w:sz="4" w:space="0" w:color="auto"/>
            </w:tcBorders>
          </w:tcPr>
          <w:p w:rsidR="005E4F6E" w:rsidRPr="00F61AD0" w:rsidRDefault="005E4F6E" w:rsidP="005E4F6E">
            <w:pPr>
              <w:pStyle w:val="TableText"/>
              <w:rPr>
                <w:sz w:val="19"/>
                <w:szCs w:val="19"/>
              </w:rPr>
            </w:pPr>
            <w:r w:rsidRPr="00F61AD0">
              <w:rPr>
                <w:w w:val="105"/>
                <w:sz w:val="19"/>
                <w:szCs w:val="19"/>
              </w:rPr>
              <w:t>39</w:t>
            </w:r>
          </w:p>
        </w:tc>
      </w:tr>
      <w:tr w:rsidR="005E4F6E" w:rsidRPr="00F61AD0" w:rsidTr="005E4F6E">
        <w:tc>
          <w:tcPr>
            <w:tcW w:w="1334" w:type="pct"/>
            <w:tcBorders>
              <w:top w:val="single" w:sz="4" w:space="0" w:color="auto"/>
              <w:left w:val="single" w:sz="4" w:space="0" w:color="auto"/>
              <w:bottom w:val="single" w:sz="4" w:space="0" w:color="auto"/>
              <w:right w:val="nil"/>
            </w:tcBorders>
            <w:shd w:val="clear" w:color="auto" w:fill="F2F2F2" w:themeFill="background1" w:themeFillShade="F2"/>
          </w:tcPr>
          <w:p w:rsidR="005E4F6E" w:rsidRPr="00F61AD0" w:rsidRDefault="005E4F6E" w:rsidP="005E4F6E">
            <w:pPr>
              <w:pStyle w:val="TableText"/>
              <w:rPr>
                <w:b/>
                <w:sz w:val="19"/>
                <w:szCs w:val="19"/>
              </w:rPr>
            </w:pPr>
            <w:r w:rsidRPr="00F61AD0">
              <w:rPr>
                <w:b/>
                <w:w w:val="105"/>
                <w:sz w:val="19"/>
                <w:szCs w:val="19"/>
              </w:rPr>
              <w:t>Relationship status</w:t>
            </w:r>
          </w:p>
        </w:tc>
        <w:tc>
          <w:tcPr>
            <w:tcW w:w="524" w:type="pct"/>
            <w:tcBorders>
              <w:top w:val="single" w:sz="4" w:space="0" w:color="auto"/>
              <w:left w:val="nil"/>
              <w:bottom w:val="single" w:sz="4" w:space="0" w:color="auto"/>
              <w:right w:val="nil"/>
            </w:tcBorders>
            <w:shd w:val="clear" w:color="auto" w:fill="F2F2F2" w:themeFill="background1" w:themeFillShade="F2"/>
          </w:tcPr>
          <w:p w:rsidR="005E4F6E" w:rsidRPr="00F61AD0" w:rsidRDefault="005E4F6E" w:rsidP="005E4F6E">
            <w:pPr>
              <w:pStyle w:val="TableText"/>
              <w:rPr>
                <w:rFonts w:ascii="Times New Roman"/>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5E4F6E" w:rsidRPr="00F61AD0" w:rsidRDefault="005E4F6E" w:rsidP="005E4F6E">
            <w:pPr>
              <w:pStyle w:val="TableText"/>
              <w:rPr>
                <w:rFonts w:ascii="Times New Roman"/>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5E4F6E" w:rsidRPr="00F61AD0" w:rsidRDefault="005E4F6E" w:rsidP="005E4F6E">
            <w:pPr>
              <w:pStyle w:val="TableText"/>
              <w:rPr>
                <w:rFonts w:ascii="Times New Roman"/>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5E4F6E" w:rsidRPr="00F61AD0" w:rsidRDefault="005E4F6E" w:rsidP="005E4F6E">
            <w:pPr>
              <w:pStyle w:val="TableText"/>
              <w:rPr>
                <w:rFonts w:ascii="Times New Roman"/>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5E4F6E" w:rsidRPr="00F61AD0" w:rsidRDefault="005E4F6E" w:rsidP="005E4F6E">
            <w:pPr>
              <w:pStyle w:val="TableText"/>
              <w:rPr>
                <w:rFonts w:ascii="Times New Roman"/>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5E4F6E" w:rsidRPr="00F61AD0" w:rsidRDefault="005E4F6E" w:rsidP="005E4F6E">
            <w:pPr>
              <w:pStyle w:val="TableText"/>
              <w:rPr>
                <w:rFonts w:ascii="Times New Roman"/>
                <w:sz w:val="19"/>
                <w:szCs w:val="19"/>
              </w:rPr>
            </w:pPr>
          </w:p>
        </w:tc>
        <w:tc>
          <w:tcPr>
            <w:tcW w:w="522" w:type="pct"/>
            <w:tcBorders>
              <w:top w:val="single" w:sz="4" w:space="0" w:color="auto"/>
              <w:left w:val="nil"/>
              <w:bottom w:val="single" w:sz="4" w:space="0" w:color="auto"/>
              <w:right w:val="single" w:sz="4" w:space="0" w:color="auto"/>
            </w:tcBorders>
            <w:shd w:val="clear" w:color="auto" w:fill="F2F2F2" w:themeFill="background1" w:themeFillShade="F2"/>
          </w:tcPr>
          <w:p w:rsidR="005E4F6E" w:rsidRPr="00F61AD0" w:rsidRDefault="005E4F6E" w:rsidP="005E4F6E">
            <w:pPr>
              <w:pStyle w:val="TableText"/>
              <w:rPr>
                <w:rFonts w:ascii="Times New Roman"/>
                <w:sz w:val="19"/>
                <w:szCs w:val="19"/>
              </w:rPr>
            </w:pPr>
          </w:p>
        </w:tc>
      </w:tr>
      <w:tr w:rsidR="005E4F6E" w:rsidRPr="00F61AD0" w:rsidTr="005E4F6E">
        <w:tc>
          <w:tcPr>
            <w:tcW w:w="1334" w:type="pct"/>
            <w:tcBorders>
              <w:top w:val="single" w:sz="4" w:space="0" w:color="auto"/>
            </w:tcBorders>
          </w:tcPr>
          <w:p w:rsidR="005E4F6E" w:rsidRPr="00F61AD0" w:rsidRDefault="005E4F6E" w:rsidP="005E4F6E">
            <w:pPr>
              <w:pStyle w:val="TableText"/>
              <w:rPr>
                <w:sz w:val="19"/>
                <w:szCs w:val="19"/>
              </w:rPr>
            </w:pPr>
            <w:r w:rsidRPr="00F61AD0">
              <w:rPr>
                <w:w w:val="105"/>
                <w:sz w:val="19"/>
                <w:szCs w:val="19"/>
              </w:rPr>
              <w:t>Single</w:t>
            </w:r>
          </w:p>
        </w:tc>
        <w:tc>
          <w:tcPr>
            <w:tcW w:w="524" w:type="pct"/>
            <w:tcBorders>
              <w:top w:val="single" w:sz="4" w:space="0" w:color="auto"/>
            </w:tcBorders>
          </w:tcPr>
          <w:p w:rsidR="005E4F6E" w:rsidRPr="00F61AD0" w:rsidRDefault="005E4F6E" w:rsidP="005E4F6E">
            <w:pPr>
              <w:pStyle w:val="TableText"/>
              <w:rPr>
                <w:sz w:val="19"/>
                <w:szCs w:val="19"/>
              </w:rPr>
            </w:pPr>
            <w:r w:rsidRPr="00F61AD0">
              <w:rPr>
                <w:w w:val="105"/>
                <w:sz w:val="19"/>
                <w:szCs w:val="19"/>
              </w:rPr>
              <w:t>287</w:t>
            </w:r>
          </w:p>
        </w:tc>
        <w:tc>
          <w:tcPr>
            <w:tcW w:w="524" w:type="pct"/>
            <w:tcBorders>
              <w:top w:val="single" w:sz="4" w:space="0" w:color="auto"/>
            </w:tcBorders>
          </w:tcPr>
          <w:p w:rsidR="005E4F6E" w:rsidRPr="00F61AD0" w:rsidRDefault="005E4F6E" w:rsidP="005E4F6E">
            <w:pPr>
              <w:pStyle w:val="TableText"/>
              <w:rPr>
                <w:sz w:val="19"/>
                <w:szCs w:val="19"/>
              </w:rPr>
            </w:pPr>
            <w:r w:rsidRPr="00F61AD0">
              <w:rPr>
                <w:w w:val="105"/>
                <w:sz w:val="19"/>
                <w:szCs w:val="19"/>
              </w:rPr>
              <w:t>78.8</w:t>
            </w:r>
          </w:p>
        </w:tc>
        <w:tc>
          <w:tcPr>
            <w:tcW w:w="524" w:type="pct"/>
            <w:tcBorders>
              <w:top w:val="single" w:sz="4" w:space="0" w:color="auto"/>
            </w:tcBorders>
          </w:tcPr>
          <w:p w:rsidR="005E4F6E" w:rsidRPr="00F61AD0" w:rsidRDefault="005E4F6E" w:rsidP="005E4F6E">
            <w:pPr>
              <w:pStyle w:val="TableText"/>
              <w:rPr>
                <w:sz w:val="19"/>
                <w:szCs w:val="19"/>
              </w:rPr>
            </w:pPr>
            <w:r w:rsidRPr="00F61AD0">
              <w:rPr>
                <w:w w:val="105"/>
                <w:sz w:val="19"/>
                <w:szCs w:val="19"/>
              </w:rPr>
              <w:t>39</w:t>
            </w:r>
          </w:p>
        </w:tc>
        <w:tc>
          <w:tcPr>
            <w:tcW w:w="524" w:type="pct"/>
            <w:tcBorders>
              <w:top w:val="single" w:sz="4" w:space="0" w:color="auto"/>
            </w:tcBorders>
          </w:tcPr>
          <w:p w:rsidR="005E4F6E" w:rsidRPr="00F61AD0" w:rsidRDefault="005E4F6E" w:rsidP="005E4F6E">
            <w:pPr>
              <w:pStyle w:val="TableText"/>
              <w:rPr>
                <w:sz w:val="19"/>
                <w:szCs w:val="19"/>
              </w:rPr>
            </w:pPr>
            <w:r w:rsidRPr="00F61AD0">
              <w:rPr>
                <w:w w:val="105"/>
                <w:sz w:val="19"/>
                <w:szCs w:val="19"/>
              </w:rPr>
              <w:t>16.9</w:t>
            </w:r>
          </w:p>
        </w:tc>
        <w:tc>
          <w:tcPr>
            <w:tcW w:w="524" w:type="pct"/>
            <w:tcBorders>
              <w:top w:val="single" w:sz="4" w:space="0" w:color="auto"/>
            </w:tcBorders>
          </w:tcPr>
          <w:p w:rsidR="005E4F6E" w:rsidRPr="00F61AD0" w:rsidRDefault="005E4F6E" w:rsidP="005E4F6E">
            <w:pPr>
              <w:pStyle w:val="TableText"/>
              <w:rPr>
                <w:sz w:val="19"/>
                <w:szCs w:val="19"/>
              </w:rPr>
            </w:pPr>
            <w:r w:rsidRPr="00F61AD0">
              <w:rPr>
                <w:w w:val="103"/>
                <w:sz w:val="19"/>
                <w:szCs w:val="19"/>
              </w:rPr>
              <w:t>5</w:t>
            </w:r>
          </w:p>
        </w:tc>
        <w:tc>
          <w:tcPr>
            <w:tcW w:w="524" w:type="pct"/>
            <w:tcBorders>
              <w:top w:val="single" w:sz="4" w:space="0" w:color="auto"/>
            </w:tcBorders>
          </w:tcPr>
          <w:p w:rsidR="005E4F6E" w:rsidRPr="00F61AD0" w:rsidRDefault="005E4F6E" w:rsidP="005E4F6E">
            <w:pPr>
              <w:pStyle w:val="TableText"/>
              <w:rPr>
                <w:sz w:val="19"/>
                <w:szCs w:val="19"/>
              </w:rPr>
            </w:pPr>
            <w:r w:rsidRPr="00F61AD0">
              <w:rPr>
                <w:w w:val="105"/>
                <w:sz w:val="19"/>
                <w:szCs w:val="19"/>
              </w:rPr>
              <w:t>41.7</w:t>
            </w:r>
          </w:p>
        </w:tc>
        <w:tc>
          <w:tcPr>
            <w:tcW w:w="522" w:type="pct"/>
            <w:tcBorders>
              <w:top w:val="single" w:sz="4" w:space="0" w:color="auto"/>
            </w:tcBorders>
          </w:tcPr>
          <w:p w:rsidR="005E4F6E" w:rsidRPr="00F61AD0" w:rsidRDefault="005E4F6E" w:rsidP="005E4F6E">
            <w:pPr>
              <w:pStyle w:val="TableText"/>
              <w:rPr>
                <w:sz w:val="19"/>
                <w:szCs w:val="19"/>
              </w:rPr>
            </w:pPr>
            <w:r w:rsidRPr="00F61AD0">
              <w:rPr>
                <w:w w:val="105"/>
                <w:sz w:val="19"/>
                <w:szCs w:val="19"/>
              </w:rPr>
              <w:t>331</w:t>
            </w:r>
          </w:p>
        </w:tc>
      </w:tr>
      <w:tr w:rsidR="005E4F6E" w:rsidRPr="00F61AD0" w:rsidTr="005E4F6E">
        <w:tc>
          <w:tcPr>
            <w:tcW w:w="1334" w:type="pct"/>
          </w:tcPr>
          <w:p w:rsidR="005E4F6E" w:rsidRPr="00F61AD0" w:rsidRDefault="005E4F6E" w:rsidP="005E4F6E">
            <w:pPr>
              <w:pStyle w:val="TableText"/>
              <w:rPr>
                <w:sz w:val="19"/>
                <w:szCs w:val="19"/>
              </w:rPr>
            </w:pPr>
            <w:r w:rsidRPr="00F61AD0">
              <w:rPr>
                <w:w w:val="105"/>
                <w:sz w:val="19"/>
                <w:szCs w:val="19"/>
              </w:rPr>
              <w:t>Cohabitating</w:t>
            </w:r>
          </w:p>
        </w:tc>
        <w:tc>
          <w:tcPr>
            <w:tcW w:w="524" w:type="pct"/>
          </w:tcPr>
          <w:p w:rsidR="005E4F6E" w:rsidRPr="00F61AD0" w:rsidRDefault="005E4F6E" w:rsidP="005E4F6E">
            <w:pPr>
              <w:pStyle w:val="TableText"/>
              <w:rPr>
                <w:sz w:val="19"/>
                <w:szCs w:val="19"/>
              </w:rPr>
            </w:pPr>
            <w:r w:rsidRPr="00F61AD0">
              <w:rPr>
                <w:w w:val="105"/>
                <w:sz w:val="19"/>
                <w:szCs w:val="19"/>
              </w:rPr>
              <w:t>33</w:t>
            </w:r>
          </w:p>
        </w:tc>
        <w:tc>
          <w:tcPr>
            <w:tcW w:w="524" w:type="pct"/>
          </w:tcPr>
          <w:p w:rsidR="005E4F6E" w:rsidRPr="00F61AD0" w:rsidRDefault="005E4F6E" w:rsidP="005E4F6E">
            <w:pPr>
              <w:pStyle w:val="TableText"/>
              <w:rPr>
                <w:sz w:val="19"/>
                <w:szCs w:val="19"/>
              </w:rPr>
            </w:pPr>
            <w:r w:rsidRPr="00F61AD0">
              <w:rPr>
                <w:w w:val="105"/>
                <w:sz w:val="19"/>
                <w:szCs w:val="19"/>
              </w:rPr>
              <w:t>9.1</w:t>
            </w:r>
          </w:p>
        </w:tc>
        <w:tc>
          <w:tcPr>
            <w:tcW w:w="524" w:type="pct"/>
          </w:tcPr>
          <w:p w:rsidR="005E4F6E" w:rsidRPr="00F61AD0" w:rsidRDefault="005E4F6E" w:rsidP="005E4F6E">
            <w:pPr>
              <w:pStyle w:val="TableText"/>
              <w:rPr>
                <w:sz w:val="19"/>
                <w:szCs w:val="19"/>
              </w:rPr>
            </w:pPr>
            <w:r w:rsidRPr="00F61AD0">
              <w:rPr>
                <w:w w:val="105"/>
                <w:sz w:val="19"/>
                <w:szCs w:val="19"/>
              </w:rPr>
              <w:t>13</w:t>
            </w:r>
          </w:p>
        </w:tc>
        <w:tc>
          <w:tcPr>
            <w:tcW w:w="524" w:type="pct"/>
          </w:tcPr>
          <w:p w:rsidR="005E4F6E" w:rsidRPr="00F61AD0" w:rsidRDefault="005E4F6E" w:rsidP="005E4F6E">
            <w:pPr>
              <w:pStyle w:val="TableText"/>
              <w:rPr>
                <w:sz w:val="19"/>
                <w:szCs w:val="19"/>
              </w:rPr>
            </w:pPr>
            <w:r w:rsidRPr="00F61AD0">
              <w:rPr>
                <w:w w:val="105"/>
                <w:sz w:val="19"/>
                <w:szCs w:val="19"/>
              </w:rPr>
              <w:t>5.6</w:t>
            </w:r>
          </w:p>
        </w:tc>
        <w:tc>
          <w:tcPr>
            <w:tcW w:w="524" w:type="pct"/>
          </w:tcPr>
          <w:p w:rsidR="005E4F6E" w:rsidRPr="00F61AD0" w:rsidRDefault="005E4F6E" w:rsidP="005E4F6E">
            <w:pPr>
              <w:pStyle w:val="TableText"/>
              <w:rPr>
                <w:sz w:val="19"/>
                <w:szCs w:val="19"/>
              </w:rPr>
            </w:pPr>
            <w:r w:rsidRPr="00F61AD0">
              <w:rPr>
                <w:w w:val="103"/>
                <w:sz w:val="19"/>
                <w:szCs w:val="19"/>
              </w:rPr>
              <w:t>-</w:t>
            </w:r>
          </w:p>
        </w:tc>
        <w:tc>
          <w:tcPr>
            <w:tcW w:w="524" w:type="pct"/>
          </w:tcPr>
          <w:p w:rsidR="005E4F6E" w:rsidRPr="00F61AD0" w:rsidRDefault="005E4F6E" w:rsidP="005E4F6E">
            <w:pPr>
              <w:pStyle w:val="TableText"/>
              <w:rPr>
                <w:sz w:val="19"/>
                <w:szCs w:val="19"/>
              </w:rPr>
            </w:pPr>
            <w:r w:rsidRPr="00F61AD0">
              <w:rPr>
                <w:w w:val="103"/>
                <w:sz w:val="19"/>
                <w:szCs w:val="19"/>
              </w:rPr>
              <w:t>-</w:t>
            </w:r>
          </w:p>
        </w:tc>
        <w:tc>
          <w:tcPr>
            <w:tcW w:w="522" w:type="pct"/>
          </w:tcPr>
          <w:p w:rsidR="005E4F6E" w:rsidRPr="00F61AD0" w:rsidRDefault="005E4F6E" w:rsidP="005E4F6E">
            <w:pPr>
              <w:pStyle w:val="TableText"/>
              <w:rPr>
                <w:sz w:val="19"/>
                <w:szCs w:val="19"/>
              </w:rPr>
            </w:pPr>
            <w:r w:rsidRPr="00F61AD0">
              <w:rPr>
                <w:w w:val="105"/>
                <w:sz w:val="19"/>
                <w:szCs w:val="19"/>
              </w:rPr>
              <w:t>46</w:t>
            </w:r>
          </w:p>
        </w:tc>
      </w:tr>
      <w:tr w:rsidR="005E4F6E" w:rsidRPr="00F61AD0" w:rsidTr="005E4F6E">
        <w:tc>
          <w:tcPr>
            <w:tcW w:w="1334" w:type="pct"/>
          </w:tcPr>
          <w:p w:rsidR="005E4F6E" w:rsidRPr="00F61AD0" w:rsidRDefault="005E4F6E" w:rsidP="005E4F6E">
            <w:pPr>
              <w:pStyle w:val="TableText"/>
              <w:rPr>
                <w:sz w:val="19"/>
                <w:szCs w:val="19"/>
              </w:rPr>
            </w:pPr>
            <w:r w:rsidRPr="00F61AD0">
              <w:rPr>
                <w:w w:val="105"/>
                <w:sz w:val="19"/>
                <w:szCs w:val="19"/>
              </w:rPr>
              <w:t>Civil union</w:t>
            </w:r>
          </w:p>
        </w:tc>
        <w:tc>
          <w:tcPr>
            <w:tcW w:w="524" w:type="pct"/>
          </w:tcPr>
          <w:p w:rsidR="005E4F6E" w:rsidRPr="00F61AD0" w:rsidRDefault="005E4F6E" w:rsidP="005E4F6E">
            <w:pPr>
              <w:pStyle w:val="TableText"/>
              <w:rPr>
                <w:sz w:val="19"/>
                <w:szCs w:val="19"/>
              </w:rPr>
            </w:pPr>
            <w:r w:rsidRPr="00F61AD0">
              <w:rPr>
                <w:w w:val="105"/>
                <w:sz w:val="19"/>
                <w:szCs w:val="19"/>
              </w:rPr>
              <w:t>37</w:t>
            </w:r>
          </w:p>
        </w:tc>
        <w:tc>
          <w:tcPr>
            <w:tcW w:w="524" w:type="pct"/>
          </w:tcPr>
          <w:p w:rsidR="005E4F6E" w:rsidRPr="00F61AD0" w:rsidRDefault="005E4F6E" w:rsidP="005E4F6E">
            <w:pPr>
              <w:pStyle w:val="TableText"/>
              <w:rPr>
                <w:sz w:val="19"/>
                <w:szCs w:val="19"/>
              </w:rPr>
            </w:pPr>
            <w:r w:rsidRPr="00F61AD0">
              <w:rPr>
                <w:w w:val="105"/>
                <w:sz w:val="19"/>
                <w:szCs w:val="19"/>
              </w:rPr>
              <w:t>10.2</w:t>
            </w:r>
          </w:p>
        </w:tc>
        <w:tc>
          <w:tcPr>
            <w:tcW w:w="524" w:type="pct"/>
          </w:tcPr>
          <w:p w:rsidR="005E4F6E" w:rsidRPr="00F61AD0" w:rsidRDefault="005E4F6E" w:rsidP="005E4F6E">
            <w:pPr>
              <w:pStyle w:val="TableText"/>
              <w:rPr>
                <w:sz w:val="19"/>
                <w:szCs w:val="19"/>
              </w:rPr>
            </w:pPr>
            <w:r w:rsidRPr="00F61AD0">
              <w:rPr>
                <w:w w:val="105"/>
                <w:sz w:val="19"/>
                <w:szCs w:val="19"/>
              </w:rPr>
              <w:t>42</w:t>
            </w:r>
          </w:p>
        </w:tc>
        <w:tc>
          <w:tcPr>
            <w:tcW w:w="524" w:type="pct"/>
          </w:tcPr>
          <w:p w:rsidR="005E4F6E" w:rsidRPr="00F61AD0" w:rsidRDefault="005E4F6E" w:rsidP="005E4F6E">
            <w:pPr>
              <w:pStyle w:val="TableText"/>
              <w:rPr>
                <w:sz w:val="19"/>
                <w:szCs w:val="19"/>
              </w:rPr>
            </w:pPr>
            <w:r w:rsidRPr="00F61AD0">
              <w:rPr>
                <w:w w:val="105"/>
                <w:sz w:val="19"/>
                <w:szCs w:val="19"/>
              </w:rPr>
              <w:t>18.2</w:t>
            </w:r>
          </w:p>
        </w:tc>
        <w:tc>
          <w:tcPr>
            <w:tcW w:w="524" w:type="pct"/>
          </w:tcPr>
          <w:p w:rsidR="005E4F6E" w:rsidRPr="00F61AD0" w:rsidRDefault="005E4F6E" w:rsidP="005E4F6E">
            <w:pPr>
              <w:pStyle w:val="TableText"/>
              <w:rPr>
                <w:sz w:val="19"/>
                <w:szCs w:val="19"/>
              </w:rPr>
            </w:pPr>
            <w:r w:rsidRPr="00F61AD0">
              <w:rPr>
                <w:w w:val="103"/>
                <w:sz w:val="19"/>
                <w:szCs w:val="19"/>
              </w:rPr>
              <w:t>1</w:t>
            </w:r>
          </w:p>
        </w:tc>
        <w:tc>
          <w:tcPr>
            <w:tcW w:w="524" w:type="pct"/>
          </w:tcPr>
          <w:p w:rsidR="005E4F6E" w:rsidRPr="00F61AD0" w:rsidRDefault="005E4F6E" w:rsidP="005E4F6E">
            <w:pPr>
              <w:pStyle w:val="TableText"/>
              <w:rPr>
                <w:sz w:val="19"/>
                <w:szCs w:val="19"/>
              </w:rPr>
            </w:pPr>
            <w:r w:rsidRPr="00F61AD0">
              <w:rPr>
                <w:w w:val="105"/>
                <w:sz w:val="19"/>
                <w:szCs w:val="19"/>
              </w:rPr>
              <w:t>8.3</w:t>
            </w:r>
          </w:p>
        </w:tc>
        <w:tc>
          <w:tcPr>
            <w:tcW w:w="522" w:type="pct"/>
          </w:tcPr>
          <w:p w:rsidR="005E4F6E" w:rsidRPr="00F61AD0" w:rsidRDefault="005E4F6E" w:rsidP="005E4F6E">
            <w:pPr>
              <w:pStyle w:val="TableText"/>
              <w:rPr>
                <w:sz w:val="19"/>
                <w:szCs w:val="19"/>
              </w:rPr>
            </w:pPr>
            <w:r w:rsidRPr="00F61AD0">
              <w:rPr>
                <w:w w:val="105"/>
                <w:sz w:val="19"/>
                <w:szCs w:val="19"/>
              </w:rPr>
              <w:t>80</w:t>
            </w:r>
          </w:p>
        </w:tc>
      </w:tr>
      <w:tr w:rsidR="005E4F6E" w:rsidRPr="00F61AD0" w:rsidTr="005E4F6E">
        <w:tc>
          <w:tcPr>
            <w:tcW w:w="1334" w:type="pct"/>
          </w:tcPr>
          <w:p w:rsidR="005E4F6E" w:rsidRPr="00F61AD0" w:rsidRDefault="005E4F6E" w:rsidP="005E4F6E">
            <w:pPr>
              <w:pStyle w:val="TableText"/>
              <w:rPr>
                <w:sz w:val="19"/>
                <w:szCs w:val="19"/>
              </w:rPr>
            </w:pPr>
            <w:r w:rsidRPr="00F61AD0">
              <w:rPr>
                <w:w w:val="105"/>
                <w:sz w:val="19"/>
                <w:szCs w:val="19"/>
              </w:rPr>
              <w:t>Married</w:t>
            </w:r>
          </w:p>
        </w:tc>
        <w:tc>
          <w:tcPr>
            <w:tcW w:w="524" w:type="pct"/>
          </w:tcPr>
          <w:p w:rsidR="005E4F6E" w:rsidRPr="00F61AD0" w:rsidRDefault="005E4F6E" w:rsidP="005E4F6E">
            <w:pPr>
              <w:pStyle w:val="TableText"/>
              <w:rPr>
                <w:sz w:val="19"/>
                <w:szCs w:val="19"/>
              </w:rPr>
            </w:pPr>
            <w:r w:rsidRPr="00F61AD0">
              <w:rPr>
                <w:w w:val="103"/>
                <w:sz w:val="19"/>
                <w:szCs w:val="19"/>
              </w:rPr>
              <w:t>4</w:t>
            </w:r>
          </w:p>
        </w:tc>
        <w:tc>
          <w:tcPr>
            <w:tcW w:w="524" w:type="pct"/>
          </w:tcPr>
          <w:p w:rsidR="005E4F6E" w:rsidRPr="00F61AD0" w:rsidRDefault="005E4F6E" w:rsidP="005E4F6E">
            <w:pPr>
              <w:pStyle w:val="TableText"/>
              <w:rPr>
                <w:sz w:val="19"/>
                <w:szCs w:val="19"/>
              </w:rPr>
            </w:pPr>
            <w:r w:rsidRPr="00F61AD0">
              <w:rPr>
                <w:w w:val="105"/>
                <w:sz w:val="19"/>
                <w:szCs w:val="19"/>
              </w:rPr>
              <w:t>1.1</w:t>
            </w:r>
          </w:p>
        </w:tc>
        <w:tc>
          <w:tcPr>
            <w:tcW w:w="524" w:type="pct"/>
          </w:tcPr>
          <w:p w:rsidR="005E4F6E" w:rsidRPr="00F61AD0" w:rsidRDefault="005E4F6E" w:rsidP="005E4F6E">
            <w:pPr>
              <w:pStyle w:val="TableText"/>
              <w:rPr>
                <w:sz w:val="19"/>
                <w:szCs w:val="19"/>
              </w:rPr>
            </w:pPr>
            <w:r w:rsidRPr="00F61AD0">
              <w:rPr>
                <w:w w:val="105"/>
                <w:sz w:val="19"/>
                <w:szCs w:val="19"/>
              </w:rPr>
              <w:t>114</w:t>
            </w:r>
          </w:p>
        </w:tc>
        <w:tc>
          <w:tcPr>
            <w:tcW w:w="524" w:type="pct"/>
          </w:tcPr>
          <w:p w:rsidR="005E4F6E" w:rsidRPr="00F61AD0" w:rsidRDefault="005E4F6E" w:rsidP="005E4F6E">
            <w:pPr>
              <w:pStyle w:val="TableText"/>
              <w:rPr>
                <w:sz w:val="19"/>
                <w:szCs w:val="19"/>
              </w:rPr>
            </w:pPr>
            <w:r w:rsidRPr="00F61AD0">
              <w:rPr>
                <w:w w:val="105"/>
                <w:sz w:val="19"/>
                <w:szCs w:val="19"/>
              </w:rPr>
              <w:t>49.4</w:t>
            </w:r>
          </w:p>
        </w:tc>
        <w:tc>
          <w:tcPr>
            <w:tcW w:w="524" w:type="pct"/>
          </w:tcPr>
          <w:p w:rsidR="005E4F6E" w:rsidRPr="00F61AD0" w:rsidRDefault="005E4F6E" w:rsidP="005E4F6E">
            <w:pPr>
              <w:pStyle w:val="TableText"/>
              <w:rPr>
                <w:sz w:val="19"/>
                <w:szCs w:val="19"/>
              </w:rPr>
            </w:pPr>
            <w:r w:rsidRPr="00F61AD0">
              <w:rPr>
                <w:w w:val="103"/>
                <w:sz w:val="19"/>
                <w:szCs w:val="19"/>
              </w:rPr>
              <w:t>4</w:t>
            </w:r>
          </w:p>
        </w:tc>
        <w:tc>
          <w:tcPr>
            <w:tcW w:w="524" w:type="pct"/>
          </w:tcPr>
          <w:p w:rsidR="005E4F6E" w:rsidRPr="00F61AD0" w:rsidRDefault="005E4F6E" w:rsidP="005E4F6E">
            <w:pPr>
              <w:pStyle w:val="TableText"/>
              <w:rPr>
                <w:sz w:val="19"/>
                <w:szCs w:val="19"/>
              </w:rPr>
            </w:pPr>
            <w:r w:rsidRPr="00F61AD0">
              <w:rPr>
                <w:w w:val="105"/>
                <w:sz w:val="19"/>
                <w:szCs w:val="19"/>
              </w:rPr>
              <w:t>33.3</w:t>
            </w:r>
          </w:p>
        </w:tc>
        <w:tc>
          <w:tcPr>
            <w:tcW w:w="522" w:type="pct"/>
          </w:tcPr>
          <w:p w:rsidR="005E4F6E" w:rsidRPr="00F61AD0" w:rsidRDefault="005E4F6E" w:rsidP="005E4F6E">
            <w:pPr>
              <w:pStyle w:val="TableText"/>
              <w:rPr>
                <w:sz w:val="19"/>
                <w:szCs w:val="19"/>
              </w:rPr>
            </w:pPr>
            <w:r w:rsidRPr="00F61AD0">
              <w:rPr>
                <w:w w:val="105"/>
                <w:sz w:val="19"/>
                <w:szCs w:val="19"/>
              </w:rPr>
              <w:t>122</w:t>
            </w:r>
          </w:p>
        </w:tc>
      </w:tr>
      <w:tr w:rsidR="005E4F6E" w:rsidRPr="00F61AD0" w:rsidTr="005E4F6E">
        <w:tc>
          <w:tcPr>
            <w:tcW w:w="1334" w:type="pct"/>
            <w:tcBorders>
              <w:bottom w:val="single" w:sz="4" w:space="0" w:color="auto"/>
            </w:tcBorders>
          </w:tcPr>
          <w:p w:rsidR="005E4F6E" w:rsidRPr="00F61AD0" w:rsidRDefault="005E4F6E" w:rsidP="005E4F6E">
            <w:pPr>
              <w:pStyle w:val="TableText"/>
              <w:rPr>
                <w:sz w:val="19"/>
                <w:szCs w:val="19"/>
              </w:rPr>
            </w:pPr>
            <w:r w:rsidRPr="00F61AD0">
              <w:rPr>
                <w:w w:val="105"/>
                <w:sz w:val="19"/>
                <w:szCs w:val="19"/>
              </w:rPr>
              <w:t>Div/sep/widow</w:t>
            </w:r>
          </w:p>
        </w:tc>
        <w:tc>
          <w:tcPr>
            <w:tcW w:w="524" w:type="pct"/>
            <w:tcBorders>
              <w:bottom w:val="single" w:sz="4" w:space="0" w:color="auto"/>
            </w:tcBorders>
          </w:tcPr>
          <w:p w:rsidR="005E4F6E" w:rsidRPr="00F61AD0" w:rsidRDefault="005E4F6E" w:rsidP="005E4F6E">
            <w:pPr>
              <w:pStyle w:val="TableText"/>
              <w:rPr>
                <w:sz w:val="19"/>
                <w:szCs w:val="19"/>
              </w:rPr>
            </w:pPr>
            <w:r w:rsidRPr="00F61AD0">
              <w:rPr>
                <w:w w:val="103"/>
                <w:sz w:val="19"/>
                <w:szCs w:val="19"/>
              </w:rPr>
              <w:t>2</w:t>
            </w:r>
          </w:p>
        </w:tc>
        <w:tc>
          <w:tcPr>
            <w:tcW w:w="524" w:type="pct"/>
            <w:tcBorders>
              <w:bottom w:val="single" w:sz="4" w:space="0" w:color="auto"/>
            </w:tcBorders>
          </w:tcPr>
          <w:p w:rsidR="005E4F6E" w:rsidRPr="00F61AD0" w:rsidRDefault="005E4F6E" w:rsidP="005E4F6E">
            <w:pPr>
              <w:pStyle w:val="TableText"/>
              <w:rPr>
                <w:sz w:val="19"/>
                <w:szCs w:val="19"/>
              </w:rPr>
            </w:pPr>
            <w:r w:rsidRPr="00F61AD0">
              <w:rPr>
                <w:w w:val="105"/>
                <w:sz w:val="19"/>
                <w:szCs w:val="19"/>
              </w:rPr>
              <w:t>0.6</w:t>
            </w:r>
          </w:p>
        </w:tc>
        <w:tc>
          <w:tcPr>
            <w:tcW w:w="524" w:type="pct"/>
            <w:tcBorders>
              <w:bottom w:val="single" w:sz="4" w:space="0" w:color="auto"/>
            </w:tcBorders>
          </w:tcPr>
          <w:p w:rsidR="005E4F6E" w:rsidRPr="00F61AD0" w:rsidRDefault="005E4F6E" w:rsidP="005E4F6E">
            <w:pPr>
              <w:pStyle w:val="TableText"/>
              <w:rPr>
                <w:sz w:val="19"/>
                <w:szCs w:val="19"/>
              </w:rPr>
            </w:pPr>
            <w:r w:rsidRPr="00F61AD0">
              <w:rPr>
                <w:w w:val="105"/>
                <w:sz w:val="19"/>
                <w:szCs w:val="19"/>
              </w:rPr>
              <w:t>23</w:t>
            </w:r>
          </w:p>
        </w:tc>
        <w:tc>
          <w:tcPr>
            <w:tcW w:w="524" w:type="pct"/>
            <w:tcBorders>
              <w:bottom w:val="single" w:sz="4" w:space="0" w:color="auto"/>
            </w:tcBorders>
          </w:tcPr>
          <w:p w:rsidR="005E4F6E" w:rsidRPr="00F61AD0" w:rsidRDefault="005E4F6E" w:rsidP="005E4F6E">
            <w:pPr>
              <w:pStyle w:val="TableText"/>
              <w:rPr>
                <w:sz w:val="19"/>
                <w:szCs w:val="19"/>
              </w:rPr>
            </w:pPr>
            <w:r w:rsidRPr="00F61AD0">
              <w:rPr>
                <w:w w:val="105"/>
                <w:sz w:val="19"/>
                <w:szCs w:val="19"/>
              </w:rPr>
              <w:t>10</w:t>
            </w:r>
          </w:p>
        </w:tc>
        <w:tc>
          <w:tcPr>
            <w:tcW w:w="524" w:type="pct"/>
            <w:tcBorders>
              <w:bottom w:val="single" w:sz="4" w:space="0" w:color="auto"/>
            </w:tcBorders>
          </w:tcPr>
          <w:p w:rsidR="005E4F6E" w:rsidRPr="00F61AD0" w:rsidRDefault="005E4F6E" w:rsidP="005E4F6E">
            <w:pPr>
              <w:pStyle w:val="TableText"/>
              <w:rPr>
                <w:sz w:val="19"/>
                <w:szCs w:val="19"/>
              </w:rPr>
            </w:pPr>
            <w:r w:rsidRPr="00F61AD0">
              <w:rPr>
                <w:w w:val="103"/>
                <w:sz w:val="19"/>
                <w:szCs w:val="19"/>
              </w:rPr>
              <w:t>2</w:t>
            </w:r>
          </w:p>
        </w:tc>
        <w:tc>
          <w:tcPr>
            <w:tcW w:w="524" w:type="pct"/>
            <w:tcBorders>
              <w:bottom w:val="single" w:sz="4" w:space="0" w:color="auto"/>
            </w:tcBorders>
          </w:tcPr>
          <w:p w:rsidR="005E4F6E" w:rsidRPr="00F61AD0" w:rsidRDefault="005E4F6E" w:rsidP="005E4F6E">
            <w:pPr>
              <w:pStyle w:val="TableText"/>
              <w:rPr>
                <w:sz w:val="19"/>
                <w:szCs w:val="19"/>
              </w:rPr>
            </w:pPr>
            <w:r w:rsidRPr="00F61AD0">
              <w:rPr>
                <w:w w:val="105"/>
                <w:sz w:val="19"/>
                <w:szCs w:val="19"/>
              </w:rPr>
              <w:t>16.7</w:t>
            </w:r>
          </w:p>
        </w:tc>
        <w:tc>
          <w:tcPr>
            <w:tcW w:w="522" w:type="pct"/>
            <w:tcBorders>
              <w:bottom w:val="single" w:sz="4" w:space="0" w:color="auto"/>
            </w:tcBorders>
          </w:tcPr>
          <w:p w:rsidR="005E4F6E" w:rsidRPr="00F61AD0" w:rsidRDefault="005E4F6E" w:rsidP="005E4F6E">
            <w:pPr>
              <w:pStyle w:val="TableText"/>
              <w:rPr>
                <w:sz w:val="19"/>
                <w:szCs w:val="19"/>
              </w:rPr>
            </w:pPr>
            <w:r w:rsidRPr="00F61AD0">
              <w:rPr>
                <w:w w:val="105"/>
                <w:sz w:val="19"/>
                <w:szCs w:val="19"/>
              </w:rPr>
              <w:t>26</w:t>
            </w:r>
          </w:p>
        </w:tc>
      </w:tr>
      <w:tr w:rsidR="005E4F6E" w:rsidRPr="00F61AD0" w:rsidTr="005E4F6E">
        <w:tc>
          <w:tcPr>
            <w:tcW w:w="1334" w:type="pct"/>
            <w:tcBorders>
              <w:top w:val="single" w:sz="4" w:space="0" w:color="auto"/>
              <w:left w:val="single" w:sz="4" w:space="0" w:color="auto"/>
              <w:bottom w:val="single" w:sz="4" w:space="0" w:color="auto"/>
              <w:right w:val="nil"/>
            </w:tcBorders>
            <w:shd w:val="clear" w:color="auto" w:fill="F2F2F2" w:themeFill="background1" w:themeFillShade="F2"/>
          </w:tcPr>
          <w:p w:rsidR="005E4F6E" w:rsidRPr="00F61AD0" w:rsidRDefault="005E4F6E" w:rsidP="005E4F6E">
            <w:pPr>
              <w:pStyle w:val="TableText"/>
              <w:rPr>
                <w:b/>
                <w:sz w:val="19"/>
                <w:szCs w:val="19"/>
              </w:rPr>
            </w:pPr>
            <w:r w:rsidRPr="00F61AD0">
              <w:rPr>
                <w:b/>
                <w:w w:val="105"/>
                <w:sz w:val="19"/>
                <w:szCs w:val="19"/>
              </w:rPr>
              <w:t>Location status</w:t>
            </w:r>
          </w:p>
        </w:tc>
        <w:tc>
          <w:tcPr>
            <w:tcW w:w="524" w:type="pct"/>
            <w:tcBorders>
              <w:top w:val="single" w:sz="4" w:space="0" w:color="auto"/>
              <w:left w:val="nil"/>
              <w:bottom w:val="single" w:sz="4" w:space="0" w:color="auto"/>
              <w:right w:val="nil"/>
            </w:tcBorders>
            <w:shd w:val="clear" w:color="auto" w:fill="F2F2F2" w:themeFill="background1" w:themeFillShade="F2"/>
          </w:tcPr>
          <w:p w:rsidR="005E4F6E" w:rsidRPr="00F61AD0" w:rsidRDefault="005E4F6E" w:rsidP="005E4F6E">
            <w:pPr>
              <w:pStyle w:val="TableText"/>
              <w:rPr>
                <w:rFonts w:ascii="Times New Roman"/>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5E4F6E" w:rsidRPr="00F61AD0" w:rsidRDefault="005E4F6E" w:rsidP="005E4F6E">
            <w:pPr>
              <w:pStyle w:val="TableText"/>
              <w:rPr>
                <w:rFonts w:ascii="Times New Roman"/>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5E4F6E" w:rsidRPr="00F61AD0" w:rsidRDefault="005E4F6E" w:rsidP="005E4F6E">
            <w:pPr>
              <w:pStyle w:val="TableText"/>
              <w:rPr>
                <w:rFonts w:ascii="Times New Roman"/>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5E4F6E" w:rsidRPr="00F61AD0" w:rsidRDefault="005E4F6E" w:rsidP="005E4F6E">
            <w:pPr>
              <w:pStyle w:val="TableText"/>
              <w:rPr>
                <w:rFonts w:ascii="Times New Roman"/>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5E4F6E" w:rsidRPr="00F61AD0" w:rsidRDefault="005E4F6E" w:rsidP="005E4F6E">
            <w:pPr>
              <w:pStyle w:val="TableText"/>
              <w:rPr>
                <w:rFonts w:ascii="Times New Roman"/>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5E4F6E" w:rsidRPr="00F61AD0" w:rsidRDefault="005E4F6E" w:rsidP="005E4F6E">
            <w:pPr>
              <w:pStyle w:val="TableText"/>
              <w:rPr>
                <w:rFonts w:ascii="Times New Roman"/>
                <w:sz w:val="19"/>
                <w:szCs w:val="19"/>
              </w:rPr>
            </w:pPr>
          </w:p>
        </w:tc>
        <w:tc>
          <w:tcPr>
            <w:tcW w:w="522" w:type="pct"/>
            <w:tcBorders>
              <w:top w:val="single" w:sz="4" w:space="0" w:color="auto"/>
              <w:left w:val="nil"/>
              <w:bottom w:val="single" w:sz="4" w:space="0" w:color="auto"/>
              <w:right w:val="single" w:sz="4" w:space="0" w:color="auto"/>
            </w:tcBorders>
            <w:shd w:val="clear" w:color="auto" w:fill="F2F2F2" w:themeFill="background1" w:themeFillShade="F2"/>
          </w:tcPr>
          <w:p w:rsidR="005E4F6E" w:rsidRPr="00F61AD0" w:rsidRDefault="005E4F6E" w:rsidP="005E4F6E">
            <w:pPr>
              <w:pStyle w:val="TableText"/>
              <w:rPr>
                <w:rFonts w:ascii="Times New Roman"/>
                <w:sz w:val="19"/>
                <w:szCs w:val="19"/>
              </w:rPr>
            </w:pPr>
          </w:p>
        </w:tc>
      </w:tr>
      <w:tr w:rsidR="005E4F6E" w:rsidRPr="00F61AD0" w:rsidTr="005E4F6E">
        <w:tc>
          <w:tcPr>
            <w:tcW w:w="1334" w:type="pct"/>
            <w:tcBorders>
              <w:top w:val="single" w:sz="4" w:space="0" w:color="auto"/>
            </w:tcBorders>
          </w:tcPr>
          <w:p w:rsidR="005E4F6E" w:rsidRPr="00F61AD0" w:rsidRDefault="005E4F6E" w:rsidP="005E4F6E">
            <w:pPr>
              <w:pStyle w:val="TableText"/>
              <w:rPr>
                <w:sz w:val="19"/>
                <w:szCs w:val="19"/>
              </w:rPr>
            </w:pPr>
            <w:r w:rsidRPr="00F61AD0">
              <w:rPr>
                <w:w w:val="105"/>
                <w:sz w:val="19"/>
                <w:szCs w:val="19"/>
              </w:rPr>
              <w:t>Relocated</w:t>
            </w:r>
          </w:p>
        </w:tc>
        <w:tc>
          <w:tcPr>
            <w:tcW w:w="524" w:type="pct"/>
            <w:tcBorders>
              <w:top w:val="single" w:sz="4" w:space="0" w:color="auto"/>
            </w:tcBorders>
          </w:tcPr>
          <w:p w:rsidR="005E4F6E" w:rsidRPr="00F61AD0" w:rsidRDefault="005E4F6E" w:rsidP="005E4F6E">
            <w:pPr>
              <w:pStyle w:val="TableText"/>
              <w:rPr>
                <w:sz w:val="19"/>
                <w:szCs w:val="19"/>
              </w:rPr>
            </w:pPr>
            <w:r w:rsidRPr="00F61AD0">
              <w:rPr>
                <w:w w:val="105"/>
                <w:sz w:val="19"/>
                <w:szCs w:val="19"/>
              </w:rPr>
              <w:t>299</w:t>
            </w:r>
          </w:p>
        </w:tc>
        <w:tc>
          <w:tcPr>
            <w:tcW w:w="524" w:type="pct"/>
            <w:tcBorders>
              <w:top w:val="single" w:sz="4" w:space="0" w:color="auto"/>
            </w:tcBorders>
          </w:tcPr>
          <w:p w:rsidR="005E4F6E" w:rsidRPr="00F61AD0" w:rsidRDefault="005E4F6E" w:rsidP="005E4F6E">
            <w:pPr>
              <w:pStyle w:val="TableText"/>
              <w:rPr>
                <w:sz w:val="19"/>
                <w:szCs w:val="19"/>
              </w:rPr>
            </w:pPr>
            <w:r w:rsidRPr="00F61AD0">
              <w:rPr>
                <w:w w:val="105"/>
                <w:sz w:val="19"/>
                <w:szCs w:val="19"/>
              </w:rPr>
              <w:t>82.1</w:t>
            </w:r>
          </w:p>
        </w:tc>
        <w:tc>
          <w:tcPr>
            <w:tcW w:w="524" w:type="pct"/>
            <w:tcBorders>
              <w:top w:val="single" w:sz="4" w:space="0" w:color="auto"/>
            </w:tcBorders>
          </w:tcPr>
          <w:p w:rsidR="005E4F6E" w:rsidRPr="00F61AD0" w:rsidRDefault="005E4F6E" w:rsidP="005E4F6E">
            <w:pPr>
              <w:pStyle w:val="TableText"/>
              <w:rPr>
                <w:sz w:val="19"/>
                <w:szCs w:val="19"/>
              </w:rPr>
            </w:pPr>
            <w:r w:rsidRPr="00F61AD0">
              <w:rPr>
                <w:w w:val="105"/>
                <w:sz w:val="19"/>
                <w:szCs w:val="19"/>
              </w:rPr>
              <w:t>25</w:t>
            </w:r>
          </w:p>
        </w:tc>
        <w:tc>
          <w:tcPr>
            <w:tcW w:w="524" w:type="pct"/>
            <w:tcBorders>
              <w:top w:val="single" w:sz="4" w:space="0" w:color="auto"/>
            </w:tcBorders>
          </w:tcPr>
          <w:p w:rsidR="005E4F6E" w:rsidRPr="00F61AD0" w:rsidRDefault="005E4F6E" w:rsidP="005E4F6E">
            <w:pPr>
              <w:pStyle w:val="TableText"/>
              <w:rPr>
                <w:sz w:val="19"/>
                <w:szCs w:val="19"/>
              </w:rPr>
            </w:pPr>
            <w:r w:rsidRPr="00F61AD0">
              <w:rPr>
                <w:w w:val="105"/>
                <w:sz w:val="19"/>
                <w:szCs w:val="19"/>
              </w:rPr>
              <w:t>10.8</w:t>
            </w:r>
          </w:p>
        </w:tc>
        <w:tc>
          <w:tcPr>
            <w:tcW w:w="524" w:type="pct"/>
            <w:tcBorders>
              <w:top w:val="single" w:sz="4" w:space="0" w:color="auto"/>
            </w:tcBorders>
          </w:tcPr>
          <w:p w:rsidR="005E4F6E" w:rsidRPr="00F61AD0" w:rsidRDefault="005E4F6E" w:rsidP="005E4F6E">
            <w:pPr>
              <w:pStyle w:val="TableText"/>
              <w:rPr>
                <w:sz w:val="19"/>
                <w:szCs w:val="19"/>
              </w:rPr>
            </w:pPr>
            <w:r w:rsidRPr="00F61AD0">
              <w:rPr>
                <w:w w:val="103"/>
                <w:sz w:val="19"/>
                <w:szCs w:val="19"/>
              </w:rPr>
              <w:t>4</w:t>
            </w:r>
          </w:p>
        </w:tc>
        <w:tc>
          <w:tcPr>
            <w:tcW w:w="524" w:type="pct"/>
            <w:tcBorders>
              <w:top w:val="single" w:sz="4" w:space="0" w:color="auto"/>
            </w:tcBorders>
          </w:tcPr>
          <w:p w:rsidR="005E4F6E" w:rsidRPr="00F61AD0" w:rsidRDefault="005E4F6E" w:rsidP="005E4F6E">
            <w:pPr>
              <w:pStyle w:val="TableText"/>
              <w:rPr>
                <w:sz w:val="19"/>
                <w:szCs w:val="19"/>
              </w:rPr>
            </w:pPr>
            <w:r w:rsidRPr="00F61AD0">
              <w:rPr>
                <w:w w:val="105"/>
                <w:sz w:val="19"/>
                <w:szCs w:val="19"/>
              </w:rPr>
              <w:t>33.3</w:t>
            </w:r>
          </w:p>
        </w:tc>
        <w:tc>
          <w:tcPr>
            <w:tcW w:w="522" w:type="pct"/>
            <w:tcBorders>
              <w:top w:val="single" w:sz="4" w:space="0" w:color="auto"/>
            </w:tcBorders>
          </w:tcPr>
          <w:p w:rsidR="005E4F6E" w:rsidRPr="00F61AD0" w:rsidRDefault="005E4F6E" w:rsidP="005E4F6E">
            <w:pPr>
              <w:pStyle w:val="TableText"/>
              <w:rPr>
                <w:sz w:val="19"/>
                <w:szCs w:val="19"/>
              </w:rPr>
            </w:pPr>
            <w:r w:rsidRPr="00F61AD0">
              <w:rPr>
                <w:w w:val="105"/>
                <w:sz w:val="19"/>
                <w:szCs w:val="19"/>
              </w:rPr>
              <w:t>328</w:t>
            </w:r>
          </w:p>
        </w:tc>
      </w:tr>
      <w:tr w:rsidR="005E4F6E" w:rsidRPr="00F61AD0" w:rsidTr="005E4F6E">
        <w:tc>
          <w:tcPr>
            <w:tcW w:w="1334" w:type="pct"/>
            <w:tcBorders>
              <w:bottom w:val="single" w:sz="4" w:space="0" w:color="auto"/>
            </w:tcBorders>
          </w:tcPr>
          <w:p w:rsidR="005E4F6E" w:rsidRPr="00F61AD0" w:rsidRDefault="005E4F6E" w:rsidP="005E4F6E">
            <w:pPr>
              <w:pStyle w:val="TableText"/>
              <w:rPr>
                <w:sz w:val="19"/>
                <w:szCs w:val="19"/>
              </w:rPr>
            </w:pPr>
            <w:r w:rsidRPr="00F61AD0">
              <w:rPr>
                <w:w w:val="105"/>
                <w:sz w:val="19"/>
                <w:szCs w:val="19"/>
              </w:rPr>
              <w:t>Non-relocated</w:t>
            </w:r>
          </w:p>
        </w:tc>
        <w:tc>
          <w:tcPr>
            <w:tcW w:w="524" w:type="pct"/>
            <w:tcBorders>
              <w:bottom w:val="single" w:sz="4" w:space="0" w:color="auto"/>
            </w:tcBorders>
          </w:tcPr>
          <w:p w:rsidR="005E4F6E" w:rsidRPr="00F61AD0" w:rsidRDefault="005E4F6E" w:rsidP="005E4F6E">
            <w:pPr>
              <w:pStyle w:val="TableText"/>
              <w:rPr>
                <w:sz w:val="19"/>
                <w:szCs w:val="19"/>
              </w:rPr>
            </w:pPr>
            <w:r w:rsidRPr="00F61AD0">
              <w:rPr>
                <w:w w:val="105"/>
                <w:sz w:val="19"/>
                <w:szCs w:val="19"/>
              </w:rPr>
              <w:t>65</w:t>
            </w:r>
          </w:p>
        </w:tc>
        <w:tc>
          <w:tcPr>
            <w:tcW w:w="524" w:type="pct"/>
            <w:tcBorders>
              <w:bottom w:val="single" w:sz="4" w:space="0" w:color="auto"/>
            </w:tcBorders>
          </w:tcPr>
          <w:p w:rsidR="005E4F6E" w:rsidRPr="00F61AD0" w:rsidRDefault="005E4F6E" w:rsidP="005E4F6E">
            <w:pPr>
              <w:pStyle w:val="TableText"/>
              <w:rPr>
                <w:sz w:val="19"/>
                <w:szCs w:val="19"/>
              </w:rPr>
            </w:pPr>
            <w:r w:rsidRPr="00F61AD0">
              <w:rPr>
                <w:w w:val="105"/>
                <w:sz w:val="19"/>
                <w:szCs w:val="19"/>
              </w:rPr>
              <w:t>17.9</w:t>
            </w:r>
          </w:p>
        </w:tc>
        <w:tc>
          <w:tcPr>
            <w:tcW w:w="524" w:type="pct"/>
            <w:tcBorders>
              <w:bottom w:val="single" w:sz="4" w:space="0" w:color="auto"/>
            </w:tcBorders>
          </w:tcPr>
          <w:p w:rsidR="005E4F6E" w:rsidRPr="00F61AD0" w:rsidRDefault="005E4F6E" w:rsidP="005E4F6E">
            <w:pPr>
              <w:pStyle w:val="TableText"/>
              <w:rPr>
                <w:sz w:val="19"/>
                <w:szCs w:val="19"/>
              </w:rPr>
            </w:pPr>
            <w:r w:rsidRPr="00F61AD0">
              <w:rPr>
                <w:w w:val="105"/>
                <w:sz w:val="19"/>
                <w:szCs w:val="19"/>
              </w:rPr>
              <w:t>206</w:t>
            </w:r>
          </w:p>
        </w:tc>
        <w:tc>
          <w:tcPr>
            <w:tcW w:w="524" w:type="pct"/>
            <w:tcBorders>
              <w:bottom w:val="single" w:sz="4" w:space="0" w:color="auto"/>
            </w:tcBorders>
          </w:tcPr>
          <w:p w:rsidR="005E4F6E" w:rsidRPr="00F61AD0" w:rsidRDefault="005E4F6E" w:rsidP="005E4F6E">
            <w:pPr>
              <w:pStyle w:val="TableText"/>
              <w:rPr>
                <w:sz w:val="19"/>
                <w:szCs w:val="19"/>
              </w:rPr>
            </w:pPr>
            <w:r w:rsidRPr="00F61AD0">
              <w:rPr>
                <w:w w:val="105"/>
                <w:sz w:val="19"/>
                <w:szCs w:val="19"/>
              </w:rPr>
              <w:t>89.2</w:t>
            </w:r>
          </w:p>
        </w:tc>
        <w:tc>
          <w:tcPr>
            <w:tcW w:w="524" w:type="pct"/>
            <w:tcBorders>
              <w:bottom w:val="single" w:sz="4" w:space="0" w:color="auto"/>
            </w:tcBorders>
          </w:tcPr>
          <w:p w:rsidR="005E4F6E" w:rsidRPr="00F61AD0" w:rsidRDefault="005E4F6E" w:rsidP="005E4F6E">
            <w:pPr>
              <w:pStyle w:val="TableText"/>
              <w:rPr>
                <w:sz w:val="19"/>
                <w:szCs w:val="19"/>
              </w:rPr>
            </w:pPr>
            <w:r w:rsidRPr="00F61AD0">
              <w:rPr>
                <w:w w:val="103"/>
                <w:sz w:val="19"/>
                <w:szCs w:val="19"/>
              </w:rPr>
              <w:t>8</w:t>
            </w:r>
          </w:p>
        </w:tc>
        <w:tc>
          <w:tcPr>
            <w:tcW w:w="524" w:type="pct"/>
            <w:tcBorders>
              <w:bottom w:val="single" w:sz="4" w:space="0" w:color="auto"/>
            </w:tcBorders>
          </w:tcPr>
          <w:p w:rsidR="005E4F6E" w:rsidRPr="00F61AD0" w:rsidRDefault="005E4F6E" w:rsidP="005E4F6E">
            <w:pPr>
              <w:pStyle w:val="TableText"/>
              <w:rPr>
                <w:sz w:val="19"/>
                <w:szCs w:val="19"/>
              </w:rPr>
            </w:pPr>
            <w:r w:rsidRPr="00F61AD0">
              <w:rPr>
                <w:w w:val="105"/>
                <w:sz w:val="19"/>
                <w:szCs w:val="19"/>
              </w:rPr>
              <w:t>66.7</w:t>
            </w:r>
          </w:p>
        </w:tc>
        <w:tc>
          <w:tcPr>
            <w:tcW w:w="522" w:type="pct"/>
            <w:tcBorders>
              <w:bottom w:val="single" w:sz="4" w:space="0" w:color="auto"/>
            </w:tcBorders>
          </w:tcPr>
          <w:p w:rsidR="005E4F6E" w:rsidRPr="00F61AD0" w:rsidRDefault="005E4F6E" w:rsidP="005E4F6E">
            <w:pPr>
              <w:pStyle w:val="TableText"/>
              <w:rPr>
                <w:sz w:val="19"/>
                <w:szCs w:val="19"/>
              </w:rPr>
            </w:pPr>
            <w:r w:rsidRPr="00F61AD0">
              <w:rPr>
                <w:w w:val="105"/>
                <w:sz w:val="19"/>
                <w:szCs w:val="19"/>
              </w:rPr>
              <w:t>279</w:t>
            </w:r>
          </w:p>
        </w:tc>
      </w:tr>
      <w:tr w:rsidR="005E4F6E" w:rsidRPr="00F61AD0" w:rsidTr="005E4F6E">
        <w:tc>
          <w:tcPr>
            <w:tcW w:w="1334" w:type="pct"/>
            <w:tcBorders>
              <w:top w:val="single" w:sz="4" w:space="0" w:color="auto"/>
              <w:left w:val="single" w:sz="4" w:space="0" w:color="auto"/>
              <w:bottom w:val="single" w:sz="4" w:space="0" w:color="auto"/>
              <w:right w:val="nil"/>
            </w:tcBorders>
            <w:shd w:val="clear" w:color="auto" w:fill="F2F2F2" w:themeFill="background1" w:themeFillShade="F2"/>
          </w:tcPr>
          <w:p w:rsidR="005E4F6E" w:rsidRPr="00F61AD0" w:rsidRDefault="005E4F6E" w:rsidP="005E4F6E">
            <w:pPr>
              <w:pStyle w:val="TableText"/>
              <w:rPr>
                <w:b/>
                <w:sz w:val="19"/>
                <w:szCs w:val="19"/>
              </w:rPr>
            </w:pPr>
            <w:r w:rsidRPr="00F61AD0">
              <w:rPr>
                <w:b/>
                <w:w w:val="105"/>
                <w:sz w:val="19"/>
                <w:szCs w:val="19"/>
              </w:rPr>
              <w:t>Government allowances</w:t>
            </w:r>
          </w:p>
        </w:tc>
        <w:tc>
          <w:tcPr>
            <w:tcW w:w="524" w:type="pct"/>
            <w:tcBorders>
              <w:top w:val="single" w:sz="4" w:space="0" w:color="auto"/>
              <w:left w:val="nil"/>
              <w:bottom w:val="single" w:sz="4" w:space="0" w:color="auto"/>
              <w:right w:val="nil"/>
            </w:tcBorders>
            <w:shd w:val="clear" w:color="auto" w:fill="F2F2F2" w:themeFill="background1" w:themeFillShade="F2"/>
          </w:tcPr>
          <w:p w:rsidR="005E4F6E" w:rsidRPr="00F61AD0" w:rsidRDefault="005E4F6E" w:rsidP="005E4F6E">
            <w:pPr>
              <w:pStyle w:val="TableText"/>
              <w:rPr>
                <w:rFonts w:ascii="Times New Roman"/>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5E4F6E" w:rsidRPr="00F61AD0" w:rsidRDefault="005E4F6E" w:rsidP="005E4F6E">
            <w:pPr>
              <w:pStyle w:val="TableText"/>
              <w:rPr>
                <w:rFonts w:ascii="Times New Roman"/>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5E4F6E" w:rsidRPr="00F61AD0" w:rsidRDefault="005E4F6E" w:rsidP="005E4F6E">
            <w:pPr>
              <w:pStyle w:val="TableText"/>
              <w:rPr>
                <w:rFonts w:ascii="Times New Roman"/>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5E4F6E" w:rsidRPr="00F61AD0" w:rsidRDefault="005E4F6E" w:rsidP="005E4F6E">
            <w:pPr>
              <w:pStyle w:val="TableText"/>
              <w:rPr>
                <w:rFonts w:ascii="Times New Roman"/>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5E4F6E" w:rsidRPr="00F61AD0" w:rsidRDefault="005E4F6E" w:rsidP="005E4F6E">
            <w:pPr>
              <w:pStyle w:val="TableText"/>
              <w:rPr>
                <w:rFonts w:ascii="Times New Roman"/>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5E4F6E" w:rsidRPr="00F61AD0" w:rsidRDefault="005E4F6E" w:rsidP="005E4F6E">
            <w:pPr>
              <w:pStyle w:val="TableText"/>
              <w:rPr>
                <w:rFonts w:ascii="Times New Roman"/>
                <w:sz w:val="19"/>
                <w:szCs w:val="19"/>
              </w:rPr>
            </w:pPr>
          </w:p>
        </w:tc>
        <w:tc>
          <w:tcPr>
            <w:tcW w:w="522" w:type="pct"/>
            <w:tcBorders>
              <w:top w:val="single" w:sz="4" w:space="0" w:color="auto"/>
              <w:left w:val="nil"/>
              <w:bottom w:val="single" w:sz="4" w:space="0" w:color="auto"/>
              <w:right w:val="single" w:sz="4" w:space="0" w:color="auto"/>
            </w:tcBorders>
            <w:shd w:val="clear" w:color="auto" w:fill="F2F2F2" w:themeFill="background1" w:themeFillShade="F2"/>
          </w:tcPr>
          <w:p w:rsidR="005E4F6E" w:rsidRPr="00F61AD0" w:rsidRDefault="005E4F6E" w:rsidP="005E4F6E">
            <w:pPr>
              <w:pStyle w:val="TableText"/>
              <w:rPr>
                <w:rFonts w:ascii="Times New Roman"/>
                <w:sz w:val="19"/>
                <w:szCs w:val="19"/>
              </w:rPr>
            </w:pPr>
          </w:p>
        </w:tc>
      </w:tr>
      <w:tr w:rsidR="005E4F6E" w:rsidRPr="00F61AD0" w:rsidTr="005E4F6E">
        <w:tc>
          <w:tcPr>
            <w:tcW w:w="1334" w:type="pct"/>
            <w:tcBorders>
              <w:top w:val="single" w:sz="4" w:space="0" w:color="auto"/>
            </w:tcBorders>
          </w:tcPr>
          <w:p w:rsidR="005E4F6E" w:rsidRPr="00F61AD0" w:rsidRDefault="005E4F6E" w:rsidP="005E4F6E">
            <w:pPr>
              <w:pStyle w:val="TableText"/>
              <w:rPr>
                <w:sz w:val="19"/>
                <w:szCs w:val="19"/>
              </w:rPr>
            </w:pPr>
            <w:r w:rsidRPr="00F61AD0">
              <w:rPr>
                <w:w w:val="105"/>
                <w:sz w:val="19"/>
                <w:szCs w:val="19"/>
              </w:rPr>
              <w:t>Dependent YA</w:t>
            </w:r>
          </w:p>
        </w:tc>
        <w:tc>
          <w:tcPr>
            <w:tcW w:w="524" w:type="pct"/>
            <w:tcBorders>
              <w:top w:val="single" w:sz="4" w:space="0" w:color="auto"/>
            </w:tcBorders>
          </w:tcPr>
          <w:p w:rsidR="005E4F6E" w:rsidRPr="00F61AD0" w:rsidRDefault="005E4F6E" w:rsidP="005E4F6E">
            <w:pPr>
              <w:pStyle w:val="TableText"/>
              <w:rPr>
                <w:sz w:val="19"/>
                <w:szCs w:val="19"/>
              </w:rPr>
            </w:pPr>
            <w:r w:rsidRPr="00F61AD0">
              <w:rPr>
                <w:w w:val="105"/>
                <w:sz w:val="19"/>
                <w:szCs w:val="19"/>
              </w:rPr>
              <w:t>71</w:t>
            </w:r>
          </w:p>
        </w:tc>
        <w:tc>
          <w:tcPr>
            <w:tcW w:w="524" w:type="pct"/>
            <w:tcBorders>
              <w:top w:val="single" w:sz="4" w:space="0" w:color="auto"/>
            </w:tcBorders>
          </w:tcPr>
          <w:p w:rsidR="005E4F6E" w:rsidRPr="00F61AD0" w:rsidRDefault="005E4F6E" w:rsidP="005E4F6E">
            <w:pPr>
              <w:pStyle w:val="TableText"/>
              <w:rPr>
                <w:sz w:val="19"/>
                <w:szCs w:val="19"/>
              </w:rPr>
            </w:pPr>
            <w:r w:rsidRPr="00F61AD0">
              <w:rPr>
                <w:w w:val="105"/>
                <w:sz w:val="19"/>
                <w:szCs w:val="19"/>
              </w:rPr>
              <w:t>19.5</w:t>
            </w:r>
          </w:p>
        </w:tc>
        <w:tc>
          <w:tcPr>
            <w:tcW w:w="524" w:type="pct"/>
            <w:tcBorders>
              <w:top w:val="single" w:sz="4" w:space="0" w:color="auto"/>
            </w:tcBorders>
          </w:tcPr>
          <w:p w:rsidR="005E4F6E" w:rsidRPr="00F61AD0" w:rsidRDefault="005E4F6E" w:rsidP="005E4F6E">
            <w:pPr>
              <w:pStyle w:val="TableText"/>
              <w:rPr>
                <w:sz w:val="19"/>
                <w:szCs w:val="19"/>
              </w:rPr>
            </w:pPr>
            <w:r w:rsidRPr="00F61AD0">
              <w:rPr>
                <w:w w:val="103"/>
                <w:sz w:val="19"/>
                <w:szCs w:val="19"/>
              </w:rPr>
              <w:t>-</w:t>
            </w:r>
          </w:p>
        </w:tc>
        <w:tc>
          <w:tcPr>
            <w:tcW w:w="524" w:type="pct"/>
            <w:tcBorders>
              <w:top w:val="single" w:sz="4" w:space="0" w:color="auto"/>
            </w:tcBorders>
          </w:tcPr>
          <w:p w:rsidR="005E4F6E" w:rsidRPr="00F61AD0" w:rsidRDefault="005E4F6E" w:rsidP="005E4F6E">
            <w:pPr>
              <w:pStyle w:val="TableText"/>
              <w:rPr>
                <w:sz w:val="19"/>
                <w:szCs w:val="19"/>
              </w:rPr>
            </w:pPr>
            <w:r w:rsidRPr="00F61AD0">
              <w:rPr>
                <w:w w:val="103"/>
                <w:sz w:val="19"/>
                <w:szCs w:val="19"/>
              </w:rPr>
              <w:t>-</w:t>
            </w:r>
          </w:p>
        </w:tc>
        <w:tc>
          <w:tcPr>
            <w:tcW w:w="524" w:type="pct"/>
            <w:tcBorders>
              <w:top w:val="single" w:sz="4" w:space="0" w:color="auto"/>
            </w:tcBorders>
          </w:tcPr>
          <w:p w:rsidR="005E4F6E" w:rsidRPr="00F61AD0" w:rsidRDefault="005E4F6E" w:rsidP="005E4F6E">
            <w:pPr>
              <w:pStyle w:val="TableText"/>
              <w:rPr>
                <w:sz w:val="19"/>
                <w:szCs w:val="19"/>
              </w:rPr>
            </w:pPr>
            <w:r w:rsidRPr="00F61AD0">
              <w:rPr>
                <w:sz w:val="19"/>
                <w:szCs w:val="19"/>
              </w:rPr>
              <w:t>-</w:t>
            </w:r>
          </w:p>
        </w:tc>
        <w:tc>
          <w:tcPr>
            <w:tcW w:w="524" w:type="pct"/>
            <w:tcBorders>
              <w:top w:val="single" w:sz="4" w:space="0" w:color="auto"/>
            </w:tcBorders>
          </w:tcPr>
          <w:p w:rsidR="005E4F6E" w:rsidRPr="00F61AD0" w:rsidRDefault="005E4F6E" w:rsidP="005E4F6E">
            <w:pPr>
              <w:pStyle w:val="TableText"/>
              <w:rPr>
                <w:sz w:val="19"/>
                <w:szCs w:val="19"/>
              </w:rPr>
            </w:pPr>
            <w:r w:rsidRPr="00F61AD0">
              <w:rPr>
                <w:sz w:val="19"/>
                <w:szCs w:val="19"/>
              </w:rPr>
              <w:t>-</w:t>
            </w:r>
          </w:p>
        </w:tc>
        <w:tc>
          <w:tcPr>
            <w:tcW w:w="522" w:type="pct"/>
            <w:tcBorders>
              <w:top w:val="single" w:sz="4" w:space="0" w:color="auto"/>
            </w:tcBorders>
          </w:tcPr>
          <w:p w:rsidR="005E4F6E" w:rsidRPr="00F61AD0" w:rsidRDefault="005E4F6E" w:rsidP="005E4F6E">
            <w:pPr>
              <w:pStyle w:val="TableText"/>
              <w:rPr>
                <w:sz w:val="19"/>
                <w:szCs w:val="19"/>
              </w:rPr>
            </w:pPr>
            <w:r w:rsidRPr="00F61AD0">
              <w:rPr>
                <w:sz w:val="19"/>
                <w:szCs w:val="19"/>
              </w:rPr>
              <w:t>71</w:t>
            </w:r>
          </w:p>
        </w:tc>
      </w:tr>
      <w:tr w:rsidR="005E4F6E" w:rsidRPr="00F61AD0" w:rsidTr="005E4F6E">
        <w:tc>
          <w:tcPr>
            <w:tcW w:w="1334" w:type="pct"/>
          </w:tcPr>
          <w:p w:rsidR="005E4F6E" w:rsidRPr="00F61AD0" w:rsidRDefault="005E4F6E" w:rsidP="005E4F6E">
            <w:pPr>
              <w:pStyle w:val="TableText"/>
              <w:rPr>
                <w:sz w:val="19"/>
                <w:szCs w:val="19"/>
              </w:rPr>
            </w:pPr>
            <w:r w:rsidRPr="00F61AD0">
              <w:rPr>
                <w:w w:val="105"/>
                <w:sz w:val="19"/>
                <w:szCs w:val="19"/>
              </w:rPr>
              <w:t>Independent YA</w:t>
            </w:r>
          </w:p>
        </w:tc>
        <w:tc>
          <w:tcPr>
            <w:tcW w:w="524" w:type="pct"/>
          </w:tcPr>
          <w:p w:rsidR="005E4F6E" w:rsidRPr="00F61AD0" w:rsidRDefault="005E4F6E" w:rsidP="005E4F6E">
            <w:pPr>
              <w:pStyle w:val="TableText"/>
              <w:rPr>
                <w:sz w:val="19"/>
                <w:szCs w:val="19"/>
              </w:rPr>
            </w:pPr>
            <w:r w:rsidRPr="00F61AD0">
              <w:rPr>
                <w:w w:val="105"/>
                <w:sz w:val="19"/>
                <w:szCs w:val="19"/>
              </w:rPr>
              <w:t>99</w:t>
            </w:r>
          </w:p>
        </w:tc>
        <w:tc>
          <w:tcPr>
            <w:tcW w:w="524" w:type="pct"/>
          </w:tcPr>
          <w:p w:rsidR="005E4F6E" w:rsidRPr="00F61AD0" w:rsidRDefault="005E4F6E" w:rsidP="005E4F6E">
            <w:pPr>
              <w:pStyle w:val="TableText"/>
              <w:rPr>
                <w:sz w:val="19"/>
                <w:szCs w:val="19"/>
              </w:rPr>
            </w:pPr>
            <w:r w:rsidRPr="00F61AD0">
              <w:rPr>
                <w:w w:val="105"/>
                <w:sz w:val="19"/>
                <w:szCs w:val="19"/>
              </w:rPr>
              <w:t>27.2</w:t>
            </w:r>
          </w:p>
        </w:tc>
        <w:tc>
          <w:tcPr>
            <w:tcW w:w="524" w:type="pct"/>
          </w:tcPr>
          <w:p w:rsidR="005E4F6E" w:rsidRPr="00F61AD0" w:rsidRDefault="005E4F6E" w:rsidP="005E4F6E">
            <w:pPr>
              <w:pStyle w:val="TableText"/>
              <w:rPr>
                <w:sz w:val="19"/>
                <w:szCs w:val="19"/>
              </w:rPr>
            </w:pPr>
            <w:r w:rsidRPr="00F61AD0">
              <w:rPr>
                <w:w w:val="103"/>
                <w:sz w:val="19"/>
                <w:szCs w:val="19"/>
              </w:rPr>
              <w:t>-</w:t>
            </w:r>
          </w:p>
        </w:tc>
        <w:tc>
          <w:tcPr>
            <w:tcW w:w="524" w:type="pct"/>
          </w:tcPr>
          <w:p w:rsidR="005E4F6E" w:rsidRPr="00F61AD0" w:rsidRDefault="005E4F6E" w:rsidP="005E4F6E">
            <w:pPr>
              <w:pStyle w:val="TableText"/>
              <w:rPr>
                <w:sz w:val="19"/>
                <w:szCs w:val="19"/>
              </w:rPr>
            </w:pPr>
            <w:r w:rsidRPr="00F61AD0">
              <w:rPr>
                <w:w w:val="103"/>
                <w:sz w:val="19"/>
                <w:szCs w:val="19"/>
              </w:rPr>
              <w:t>-</w:t>
            </w:r>
          </w:p>
        </w:tc>
        <w:tc>
          <w:tcPr>
            <w:tcW w:w="524" w:type="pct"/>
          </w:tcPr>
          <w:p w:rsidR="005E4F6E" w:rsidRPr="00F61AD0" w:rsidRDefault="005E4F6E" w:rsidP="005E4F6E">
            <w:pPr>
              <w:pStyle w:val="TableText"/>
              <w:rPr>
                <w:sz w:val="19"/>
                <w:szCs w:val="19"/>
              </w:rPr>
            </w:pPr>
            <w:r w:rsidRPr="00F61AD0">
              <w:rPr>
                <w:sz w:val="19"/>
                <w:szCs w:val="19"/>
              </w:rPr>
              <w:t>-</w:t>
            </w:r>
          </w:p>
        </w:tc>
        <w:tc>
          <w:tcPr>
            <w:tcW w:w="524" w:type="pct"/>
          </w:tcPr>
          <w:p w:rsidR="005E4F6E" w:rsidRPr="00F61AD0" w:rsidRDefault="005E4F6E" w:rsidP="005E4F6E">
            <w:pPr>
              <w:pStyle w:val="TableText"/>
              <w:rPr>
                <w:sz w:val="19"/>
                <w:szCs w:val="19"/>
              </w:rPr>
            </w:pPr>
            <w:r w:rsidRPr="00F61AD0">
              <w:rPr>
                <w:sz w:val="19"/>
                <w:szCs w:val="19"/>
              </w:rPr>
              <w:t>-</w:t>
            </w:r>
          </w:p>
        </w:tc>
        <w:tc>
          <w:tcPr>
            <w:tcW w:w="522" w:type="pct"/>
          </w:tcPr>
          <w:p w:rsidR="005E4F6E" w:rsidRPr="00F61AD0" w:rsidRDefault="005E4F6E" w:rsidP="005E4F6E">
            <w:pPr>
              <w:pStyle w:val="TableText"/>
              <w:rPr>
                <w:sz w:val="19"/>
                <w:szCs w:val="19"/>
              </w:rPr>
            </w:pPr>
            <w:r w:rsidRPr="00F61AD0">
              <w:rPr>
                <w:sz w:val="19"/>
                <w:szCs w:val="19"/>
              </w:rPr>
              <w:t>99</w:t>
            </w:r>
          </w:p>
        </w:tc>
      </w:tr>
      <w:tr w:rsidR="005E4F6E" w:rsidRPr="00F61AD0" w:rsidTr="005E4F6E">
        <w:tc>
          <w:tcPr>
            <w:tcW w:w="1334" w:type="pct"/>
          </w:tcPr>
          <w:p w:rsidR="005E4F6E" w:rsidRPr="00F61AD0" w:rsidRDefault="005E4F6E" w:rsidP="005E4F6E">
            <w:pPr>
              <w:pStyle w:val="TableText"/>
              <w:rPr>
                <w:sz w:val="19"/>
                <w:szCs w:val="19"/>
              </w:rPr>
            </w:pPr>
            <w:r w:rsidRPr="00F61AD0">
              <w:rPr>
                <w:w w:val="105"/>
                <w:sz w:val="19"/>
                <w:szCs w:val="19"/>
              </w:rPr>
              <w:t>Austudy</w:t>
            </w:r>
          </w:p>
        </w:tc>
        <w:tc>
          <w:tcPr>
            <w:tcW w:w="524" w:type="pct"/>
          </w:tcPr>
          <w:p w:rsidR="005E4F6E" w:rsidRPr="00F61AD0" w:rsidRDefault="005E4F6E" w:rsidP="005E4F6E">
            <w:pPr>
              <w:pStyle w:val="TableText"/>
              <w:rPr>
                <w:sz w:val="19"/>
                <w:szCs w:val="19"/>
              </w:rPr>
            </w:pPr>
            <w:r w:rsidRPr="00F61AD0">
              <w:rPr>
                <w:w w:val="103"/>
                <w:sz w:val="19"/>
                <w:szCs w:val="19"/>
              </w:rPr>
              <w:t>-</w:t>
            </w:r>
          </w:p>
        </w:tc>
        <w:tc>
          <w:tcPr>
            <w:tcW w:w="524" w:type="pct"/>
          </w:tcPr>
          <w:p w:rsidR="005E4F6E" w:rsidRPr="00F61AD0" w:rsidRDefault="005E4F6E" w:rsidP="005E4F6E">
            <w:pPr>
              <w:pStyle w:val="TableText"/>
              <w:rPr>
                <w:sz w:val="19"/>
                <w:szCs w:val="19"/>
              </w:rPr>
            </w:pPr>
            <w:r w:rsidRPr="00F61AD0">
              <w:rPr>
                <w:w w:val="103"/>
                <w:sz w:val="19"/>
                <w:szCs w:val="19"/>
              </w:rPr>
              <w:t>-</w:t>
            </w:r>
          </w:p>
        </w:tc>
        <w:tc>
          <w:tcPr>
            <w:tcW w:w="524" w:type="pct"/>
          </w:tcPr>
          <w:p w:rsidR="005E4F6E" w:rsidRPr="00F61AD0" w:rsidRDefault="005E4F6E" w:rsidP="005E4F6E">
            <w:pPr>
              <w:pStyle w:val="TableText"/>
              <w:rPr>
                <w:sz w:val="19"/>
                <w:szCs w:val="19"/>
              </w:rPr>
            </w:pPr>
            <w:r w:rsidRPr="00F61AD0">
              <w:rPr>
                <w:w w:val="105"/>
                <w:sz w:val="19"/>
                <w:szCs w:val="19"/>
              </w:rPr>
              <w:t>24</w:t>
            </w:r>
          </w:p>
        </w:tc>
        <w:tc>
          <w:tcPr>
            <w:tcW w:w="524" w:type="pct"/>
          </w:tcPr>
          <w:p w:rsidR="005E4F6E" w:rsidRPr="00F61AD0" w:rsidRDefault="005E4F6E" w:rsidP="005E4F6E">
            <w:pPr>
              <w:pStyle w:val="TableText"/>
              <w:rPr>
                <w:sz w:val="19"/>
                <w:szCs w:val="19"/>
              </w:rPr>
            </w:pPr>
            <w:r w:rsidRPr="00F61AD0">
              <w:rPr>
                <w:w w:val="105"/>
                <w:sz w:val="19"/>
                <w:szCs w:val="19"/>
              </w:rPr>
              <w:t>10.4</w:t>
            </w:r>
          </w:p>
        </w:tc>
        <w:tc>
          <w:tcPr>
            <w:tcW w:w="524" w:type="pct"/>
          </w:tcPr>
          <w:p w:rsidR="005E4F6E" w:rsidRPr="00F61AD0" w:rsidRDefault="005E4F6E" w:rsidP="005E4F6E">
            <w:pPr>
              <w:pStyle w:val="TableText"/>
              <w:rPr>
                <w:sz w:val="19"/>
                <w:szCs w:val="19"/>
              </w:rPr>
            </w:pPr>
            <w:r w:rsidRPr="00F61AD0">
              <w:rPr>
                <w:sz w:val="19"/>
                <w:szCs w:val="19"/>
              </w:rPr>
              <w:t>-</w:t>
            </w:r>
          </w:p>
        </w:tc>
        <w:tc>
          <w:tcPr>
            <w:tcW w:w="524" w:type="pct"/>
          </w:tcPr>
          <w:p w:rsidR="005E4F6E" w:rsidRPr="00F61AD0" w:rsidRDefault="005E4F6E" w:rsidP="005E4F6E">
            <w:pPr>
              <w:pStyle w:val="TableText"/>
              <w:rPr>
                <w:sz w:val="19"/>
                <w:szCs w:val="19"/>
              </w:rPr>
            </w:pPr>
            <w:r w:rsidRPr="00F61AD0">
              <w:rPr>
                <w:sz w:val="19"/>
                <w:szCs w:val="19"/>
              </w:rPr>
              <w:t>-</w:t>
            </w:r>
          </w:p>
        </w:tc>
        <w:tc>
          <w:tcPr>
            <w:tcW w:w="522" w:type="pct"/>
          </w:tcPr>
          <w:p w:rsidR="005E4F6E" w:rsidRPr="00F61AD0" w:rsidRDefault="005E4F6E" w:rsidP="005E4F6E">
            <w:pPr>
              <w:pStyle w:val="TableText"/>
              <w:rPr>
                <w:sz w:val="19"/>
                <w:szCs w:val="19"/>
              </w:rPr>
            </w:pPr>
            <w:r w:rsidRPr="00F61AD0">
              <w:rPr>
                <w:sz w:val="19"/>
                <w:szCs w:val="19"/>
              </w:rPr>
              <w:t>24</w:t>
            </w:r>
          </w:p>
        </w:tc>
      </w:tr>
      <w:tr w:rsidR="005E4F6E" w:rsidRPr="00F61AD0" w:rsidTr="005E4F6E">
        <w:tc>
          <w:tcPr>
            <w:tcW w:w="1334" w:type="pct"/>
          </w:tcPr>
          <w:p w:rsidR="005E4F6E" w:rsidRPr="00F61AD0" w:rsidRDefault="005E4F6E" w:rsidP="005E4F6E">
            <w:pPr>
              <w:pStyle w:val="TableText"/>
              <w:rPr>
                <w:sz w:val="19"/>
                <w:szCs w:val="19"/>
              </w:rPr>
            </w:pPr>
            <w:r w:rsidRPr="00F61AD0">
              <w:rPr>
                <w:w w:val="105"/>
                <w:sz w:val="19"/>
                <w:szCs w:val="19"/>
              </w:rPr>
              <w:t>Abstudy</w:t>
            </w:r>
          </w:p>
        </w:tc>
        <w:tc>
          <w:tcPr>
            <w:tcW w:w="524" w:type="pct"/>
          </w:tcPr>
          <w:p w:rsidR="005E4F6E" w:rsidRPr="00F61AD0" w:rsidRDefault="005E4F6E" w:rsidP="005E4F6E">
            <w:pPr>
              <w:pStyle w:val="TableText"/>
              <w:rPr>
                <w:sz w:val="19"/>
                <w:szCs w:val="19"/>
              </w:rPr>
            </w:pPr>
            <w:r w:rsidRPr="00F61AD0">
              <w:rPr>
                <w:w w:val="103"/>
                <w:sz w:val="19"/>
                <w:szCs w:val="19"/>
              </w:rPr>
              <w:t>-</w:t>
            </w:r>
          </w:p>
        </w:tc>
        <w:tc>
          <w:tcPr>
            <w:tcW w:w="524" w:type="pct"/>
          </w:tcPr>
          <w:p w:rsidR="005E4F6E" w:rsidRPr="00F61AD0" w:rsidRDefault="005E4F6E" w:rsidP="005E4F6E">
            <w:pPr>
              <w:pStyle w:val="TableText"/>
              <w:rPr>
                <w:sz w:val="19"/>
                <w:szCs w:val="19"/>
              </w:rPr>
            </w:pPr>
            <w:r w:rsidRPr="00F61AD0">
              <w:rPr>
                <w:w w:val="103"/>
                <w:sz w:val="19"/>
                <w:szCs w:val="19"/>
              </w:rPr>
              <w:t>-</w:t>
            </w:r>
          </w:p>
        </w:tc>
        <w:tc>
          <w:tcPr>
            <w:tcW w:w="524" w:type="pct"/>
          </w:tcPr>
          <w:p w:rsidR="005E4F6E" w:rsidRPr="00F61AD0" w:rsidRDefault="005E4F6E" w:rsidP="005E4F6E">
            <w:pPr>
              <w:pStyle w:val="TableText"/>
              <w:rPr>
                <w:sz w:val="19"/>
                <w:szCs w:val="19"/>
              </w:rPr>
            </w:pPr>
            <w:r w:rsidRPr="00F61AD0">
              <w:rPr>
                <w:w w:val="103"/>
                <w:sz w:val="19"/>
                <w:szCs w:val="19"/>
              </w:rPr>
              <w:t>1</w:t>
            </w:r>
          </w:p>
        </w:tc>
        <w:tc>
          <w:tcPr>
            <w:tcW w:w="524" w:type="pct"/>
          </w:tcPr>
          <w:p w:rsidR="005E4F6E" w:rsidRPr="00F61AD0" w:rsidRDefault="005E4F6E" w:rsidP="005E4F6E">
            <w:pPr>
              <w:pStyle w:val="TableText"/>
              <w:rPr>
                <w:sz w:val="19"/>
                <w:szCs w:val="19"/>
              </w:rPr>
            </w:pPr>
            <w:r w:rsidRPr="00F61AD0">
              <w:rPr>
                <w:w w:val="105"/>
                <w:sz w:val="19"/>
                <w:szCs w:val="19"/>
              </w:rPr>
              <w:t>0.4</w:t>
            </w:r>
          </w:p>
        </w:tc>
        <w:tc>
          <w:tcPr>
            <w:tcW w:w="524" w:type="pct"/>
          </w:tcPr>
          <w:p w:rsidR="005E4F6E" w:rsidRPr="00F61AD0" w:rsidRDefault="005E4F6E" w:rsidP="005E4F6E">
            <w:pPr>
              <w:pStyle w:val="TableText"/>
              <w:rPr>
                <w:sz w:val="19"/>
                <w:szCs w:val="19"/>
              </w:rPr>
            </w:pPr>
            <w:r w:rsidRPr="00F61AD0">
              <w:rPr>
                <w:sz w:val="19"/>
                <w:szCs w:val="19"/>
              </w:rPr>
              <w:t>-</w:t>
            </w:r>
          </w:p>
        </w:tc>
        <w:tc>
          <w:tcPr>
            <w:tcW w:w="524" w:type="pct"/>
          </w:tcPr>
          <w:p w:rsidR="005E4F6E" w:rsidRPr="00F61AD0" w:rsidRDefault="005E4F6E" w:rsidP="005E4F6E">
            <w:pPr>
              <w:pStyle w:val="TableText"/>
              <w:rPr>
                <w:sz w:val="19"/>
                <w:szCs w:val="19"/>
              </w:rPr>
            </w:pPr>
            <w:r w:rsidRPr="00F61AD0">
              <w:rPr>
                <w:sz w:val="19"/>
                <w:szCs w:val="19"/>
              </w:rPr>
              <w:t>-</w:t>
            </w:r>
          </w:p>
        </w:tc>
        <w:tc>
          <w:tcPr>
            <w:tcW w:w="522" w:type="pct"/>
          </w:tcPr>
          <w:p w:rsidR="005E4F6E" w:rsidRPr="00F61AD0" w:rsidRDefault="005E4F6E" w:rsidP="005E4F6E">
            <w:pPr>
              <w:pStyle w:val="TableText"/>
              <w:rPr>
                <w:sz w:val="19"/>
                <w:szCs w:val="19"/>
              </w:rPr>
            </w:pPr>
            <w:r w:rsidRPr="00F61AD0">
              <w:rPr>
                <w:sz w:val="19"/>
                <w:szCs w:val="19"/>
              </w:rPr>
              <w:t>1</w:t>
            </w:r>
          </w:p>
        </w:tc>
      </w:tr>
      <w:tr w:rsidR="005E4F6E" w:rsidRPr="00F61AD0" w:rsidTr="005E4F6E">
        <w:tc>
          <w:tcPr>
            <w:tcW w:w="1334" w:type="pct"/>
          </w:tcPr>
          <w:p w:rsidR="005E4F6E" w:rsidRPr="00F61AD0" w:rsidRDefault="005E4F6E" w:rsidP="005E4F6E">
            <w:pPr>
              <w:pStyle w:val="TableText"/>
              <w:rPr>
                <w:sz w:val="19"/>
                <w:szCs w:val="19"/>
              </w:rPr>
            </w:pPr>
            <w:r w:rsidRPr="00F61AD0">
              <w:rPr>
                <w:w w:val="105"/>
                <w:sz w:val="19"/>
                <w:szCs w:val="19"/>
              </w:rPr>
              <w:t>Newstart</w:t>
            </w:r>
          </w:p>
        </w:tc>
        <w:tc>
          <w:tcPr>
            <w:tcW w:w="524" w:type="pct"/>
          </w:tcPr>
          <w:p w:rsidR="005E4F6E" w:rsidRPr="00F61AD0" w:rsidRDefault="005E4F6E" w:rsidP="005E4F6E">
            <w:pPr>
              <w:pStyle w:val="TableText"/>
              <w:rPr>
                <w:sz w:val="19"/>
                <w:szCs w:val="19"/>
              </w:rPr>
            </w:pPr>
            <w:r w:rsidRPr="00F61AD0">
              <w:rPr>
                <w:w w:val="103"/>
                <w:sz w:val="19"/>
                <w:szCs w:val="19"/>
              </w:rPr>
              <w:t>8</w:t>
            </w:r>
          </w:p>
        </w:tc>
        <w:tc>
          <w:tcPr>
            <w:tcW w:w="524" w:type="pct"/>
          </w:tcPr>
          <w:p w:rsidR="005E4F6E" w:rsidRPr="00F61AD0" w:rsidRDefault="005E4F6E" w:rsidP="005E4F6E">
            <w:pPr>
              <w:pStyle w:val="TableText"/>
              <w:rPr>
                <w:sz w:val="19"/>
                <w:szCs w:val="19"/>
              </w:rPr>
            </w:pPr>
            <w:r w:rsidRPr="00F61AD0">
              <w:rPr>
                <w:w w:val="105"/>
                <w:sz w:val="19"/>
                <w:szCs w:val="19"/>
              </w:rPr>
              <w:t>2.2</w:t>
            </w:r>
          </w:p>
        </w:tc>
        <w:tc>
          <w:tcPr>
            <w:tcW w:w="524" w:type="pct"/>
          </w:tcPr>
          <w:p w:rsidR="005E4F6E" w:rsidRPr="00F61AD0" w:rsidRDefault="005E4F6E" w:rsidP="005E4F6E">
            <w:pPr>
              <w:pStyle w:val="TableText"/>
              <w:rPr>
                <w:sz w:val="19"/>
                <w:szCs w:val="19"/>
              </w:rPr>
            </w:pPr>
            <w:r w:rsidRPr="00F61AD0">
              <w:rPr>
                <w:w w:val="103"/>
                <w:sz w:val="19"/>
                <w:szCs w:val="19"/>
              </w:rPr>
              <w:t>5</w:t>
            </w:r>
          </w:p>
        </w:tc>
        <w:tc>
          <w:tcPr>
            <w:tcW w:w="524" w:type="pct"/>
          </w:tcPr>
          <w:p w:rsidR="005E4F6E" w:rsidRPr="00F61AD0" w:rsidRDefault="005E4F6E" w:rsidP="005E4F6E">
            <w:pPr>
              <w:pStyle w:val="TableText"/>
              <w:rPr>
                <w:sz w:val="19"/>
                <w:szCs w:val="19"/>
              </w:rPr>
            </w:pPr>
            <w:r w:rsidRPr="00F61AD0">
              <w:rPr>
                <w:w w:val="105"/>
                <w:sz w:val="19"/>
                <w:szCs w:val="19"/>
              </w:rPr>
              <w:t>2.2</w:t>
            </w:r>
          </w:p>
        </w:tc>
        <w:tc>
          <w:tcPr>
            <w:tcW w:w="524" w:type="pct"/>
          </w:tcPr>
          <w:p w:rsidR="005E4F6E" w:rsidRPr="00F61AD0" w:rsidRDefault="005E4F6E" w:rsidP="005E4F6E">
            <w:pPr>
              <w:pStyle w:val="TableText"/>
              <w:rPr>
                <w:sz w:val="19"/>
                <w:szCs w:val="19"/>
              </w:rPr>
            </w:pPr>
            <w:r w:rsidRPr="00F61AD0">
              <w:rPr>
                <w:sz w:val="19"/>
                <w:szCs w:val="19"/>
              </w:rPr>
              <w:t>-</w:t>
            </w:r>
          </w:p>
        </w:tc>
        <w:tc>
          <w:tcPr>
            <w:tcW w:w="524" w:type="pct"/>
          </w:tcPr>
          <w:p w:rsidR="005E4F6E" w:rsidRPr="00F61AD0" w:rsidRDefault="005E4F6E" w:rsidP="005E4F6E">
            <w:pPr>
              <w:pStyle w:val="TableText"/>
              <w:rPr>
                <w:sz w:val="19"/>
                <w:szCs w:val="19"/>
              </w:rPr>
            </w:pPr>
            <w:r w:rsidRPr="00F61AD0">
              <w:rPr>
                <w:sz w:val="19"/>
                <w:szCs w:val="19"/>
              </w:rPr>
              <w:t>-</w:t>
            </w:r>
          </w:p>
        </w:tc>
        <w:tc>
          <w:tcPr>
            <w:tcW w:w="522" w:type="pct"/>
          </w:tcPr>
          <w:p w:rsidR="005E4F6E" w:rsidRPr="00F61AD0" w:rsidRDefault="005E4F6E" w:rsidP="005E4F6E">
            <w:pPr>
              <w:pStyle w:val="TableText"/>
              <w:rPr>
                <w:sz w:val="19"/>
                <w:szCs w:val="19"/>
              </w:rPr>
            </w:pPr>
            <w:r w:rsidRPr="00F61AD0">
              <w:rPr>
                <w:sz w:val="19"/>
                <w:szCs w:val="19"/>
              </w:rPr>
              <w:t>13</w:t>
            </w:r>
          </w:p>
        </w:tc>
      </w:tr>
      <w:tr w:rsidR="005E4F6E" w:rsidRPr="00F61AD0" w:rsidTr="005E4F6E">
        <w:tc>
          <w:tcPr>
            <w:tcW w:w="1334" w:type="pct"/>
          </w:tcPr>
          <w:p w:rsidR="005E4F6E" w:rsidRPr="00F61AD0" w:rsidRDefault="005E4F6E" w:rsidP="005E4F6E">
            <w:pPr>
              <w:pStyle w:val="TableText"/>
              <w:rPr>
                <w:sz w:val="19"/>
                <w:szCs w:val="19"/>
              </w:rPr>
            </w:pPr>
            <w:r w:rsidRPr="00F61AD0">
              <w:rPr>
                <w:w w:val="105"/>
                <w:sz w:val="19"/>
                <w:szCs w:val="19"/>
              </w:rPr>
              <w:t>Families</w:t>
            </w:r>
          </w:p>
        </w:tc>
        <w:tc>
          <w:tcPr>
            <w:tcW w:w="524" w:type="pct"/>
          </w:tcPr>
          <w:p w:rsidR="005E4F6E" w:rsidRPr="00F61AD0" w:rsidRDefault="005E4F6E" w:rsidP="005E4F6E">
            <w:pPr>
              <w:pStyle w:val="TableText"/>
              <w:rPr>
                <w:sz w:val="19"/>
                <w:szCs w:val="19"/>
              </w:rPr>
            </w:pPr>
            <w:r w:rsidRPr="00F61AD0">
              <w:rPr>
                <w:w w:val="103"/>
                <w:sz w:val="19"/>
                <w:szCs w:val="19"/>
              </w:rPr>
              <w:t>3</w:t>
            </w:r>
          </w:p>
        </w:tc>
        <w:tc>
          <w:tcPr>
            <w:tcW w:w="524" w:type="pct"/>
          </w:tcPr>
          <w:p w:rsidR="005E4F6E" w:rsidRPr="00F61AD0" w:rsidRDefault="005E4F6E" w:rsidP="005E4F6E">
            <w:pPr>
              <w:pStyle w:val="TableText"/>
              <w:rPr>
                <w:sz w:val="19"/>
                <w:szCs w:val="19"/>
              </w:rPr>
            </w:pPr>
            <w:r w:rsidRPr="00F61AD0">
              <w:rPr>
                <w:w w:val="105"/>
                <w:sz w:val="19"/>
                <w:szCs w:val="19"/>
              </w:rPr>
              <w:t>0.8</w:t>
            </w:r>
          </w:p>
        </w:tc>
        <w:tc>
          <w:tcPr>
            <w:tcW w:w="524" w:type="pct"/>
          </w:tcPr>
          <w:p w:rsidR="005E4F6E" w:rsidRPr="00F61AD0" w:rsidRDefault="005E4F6E" w:rsidP="005E4F6E">
            <w:pPr>
              <w:pStyle w:val="TableText"/>
              <w:rPr>
                <w:sz w:val="19"/>
                <w:szCs w:val="19"/>
              </w:rPr>
            </w:pPr>
            <w:r w:rsidRPr="00F61AD0">
              <w:rPr>
                <w:w w:val="105"/>
                <w:sz w:val="19"/>
                <w:szCs w:val="19"/>
              </w:rPr>
              <w:t>38</w:t>
            </w:r>
          </w:p>
        </w:tc>
        <w:tc>
          <w:tcPr>
            <w:tcW w:w="524" w:type="pct"/>
          </w:tcPr>
          <w:p w:rsidR="005E4F6E" w:rsidRPr="00F61AD0" w:rsidRDefault="005E4F6E" w:rsidP="005E4F6E">
            <w:pPr>
              <w:pStyle w:val="TableText"/>
              <w:rPr>
                <w:sz w:val="19"/>
                <w:szCs w:val="19"/>
              </w:rPr>
            </w:pPr>
            <w:r w:rsidRPr="00F61AD0">
              <w:rPr>
                <w:w w:val="105"/>
                <w:sz w:val="19"/>
                <w:szCs w:val="19"/>
              </w:rPr>
              <w:t>16.5</w:t>
            </w:r>
          </w:p>
        </w:tc>
        <w:tc>
          <w:tcPr>
            <w:tcW w:w="524" w:type="pct"/>
          </w:tcPr>
          <w:p w:rsidR="005E4F6E" w:rsidRPr="00F61AD0" w:rsidRDefault="005E4F6E" w:rsidP="005E4F6E">
            <w:pPr>
              <w:pStyle w:val="TableText"/>
              <w:rPr>
                <w:sz w:val="19"/>
                <w:szCs w:val="19"/>
              </w:rPr>
            </w:pPr>
            <w:r w:rsidRPr="00F61AD0">
              <w:rPr>
                <w:sz w:val="19"/>
                <w:szCs w:val="19"/>
              </w:rPr>
              <w:t>-</w:t>
            </w:r>
          </w:p>
        </w:tc>
        <w:tc>
          <w:tcPr>
            <w:tcW w:w="524" w:type="pct"/>
          </w:tcPr>
          <w:p w:rsidR="005E4F6E" w:rsidRPr="00F61AD0" w:rsidRDefault="005E4F6E" w:rsidP="005E4F6E">
            <w:pPr>
              <w:pStyle w:val="TableText"/>
              <w:rPr>
                <w:sz w:val="19"/>
                <w:szCs w:val="19"/>
              </w:rPr>
            </w:pPr>
            <w:r w:rsidRPr="00F61AD0">
              <w:rPr>
                <w:sz w:val="19"/>
                <w:szCs w:val="19"/>
              </w:rPr>
              <w:t>-</w:t>
            </w:r>
          </w:p>
        </w:tc>
        <w:tc>
          <w:tcPr>
            <w:tcW w:w="522" w:type="pct"/>
          </w:tcPr>
          <w:p w:rsidR="005E4F6E" w:rsidRPr="00F61AD0" w:rsidRDefault="005E4F6E" w:rsidP="005E4F6E">
            <w:pPr>
              <w:pStyle w:val="TableText"/>
              <w:rPr>
                <w:sz w:val="19"/>
                <w:szCs w:val="19"/>
              </w:rPr>
            </w:pPr>
            <w:r w:rsidRPr="00F61AD0">
              <w:rPr>
                <w:sz w:val="19"/>
                <w:szCs w:val="19"/>
              </w:rPr>
              <w:t>41</w:t>
            </w:r>
          </w:p>
        </w:tc>
      </w:tr>
      <w:tr w:rsidR="005E4F6E" w:rsidRPr="00F61AD0" w:rsidTr="005E4F6E">
        <w:tc>
          <w:tcPr>
            <w:tcW w:w="1334" w:type="pct"/>
          </w:tcPr>
          <w:p w:rsidR="005E4F6E" w:rsidRPr="00F61AD0" w:rsidRDefault="005E4F6E" w:rsidP="005E4F6E">
            <w:pPr>
              <w:pStyle w:val="TableText"/>
              <w:rPr>
                <w:sz w:val="19"/>
                <w:szCs w:val="19"/>
              </w:rPr>
            </w:pPr>
            <w:r w:rsidRPr="00F61AD0">
              <w:rPr>
                <w:w w:val="105"/>
                <w:sz w:val="19"/>
                <w:szCs w:val="19"/>
              </w:rPr>
              <w:t>Carer</w:t>
            </w:r>
          </w:p>
        </w:tc>
        <w:tc>
          <w:tcPr>
            <w:tcW w:w="524" w:type="pct"/>
          </w:tcPr>
          <w:p w:rsidR="005E4F6E" w:rsidRPr="00F61AD0" w:rsidRDefault="005E4F6E" w:rsidP="005E4F6E">
            <w:pPr>
              <w:pStyle w:val="TableText"/>
              <w:rPr>
                <w:sz w:val="19"/>
                <w:szCs w:val="19"/>
              </w:rPr>
            </w:pPr>
            <w:r w:rsidRPr="00F61AD0">
              <w:rPr>
                <w:w w:val="103"/>
                <w:sz w:val="19"/>
                <w:szCs w:val="19"/>
              </w:rPr>
              <w:t>1</w:t>
            </w:r>
          </w:p>
        </w:tc>
        <w:tc>
          <w:tcPr>
            <w:tcW w:w="524" w:type="pct"/>
          </w:tcPr>
          <w:p w:rsidR="005E4F6E" w:rsidRPr="00F61AD0" w:rsidRDefault="005E4F6E" w:rsidP="005E4F6E">
            <w:pPr>
              <w:pStyle w:val="TableText"/>
              <w:rPr>
                <w:sz w:val="19"/>
                <w:szCs w:val="19"/>
              </w:rPr>
            </w:pPr>
            <w:r w:rsidRPr="00F61AD0">
              <w:rPr>
                <w:w w:val="105"/>
                <w:sz w:val="19"/>
                <w:szCs w:val="19"/>
              </w:rPr>
              <w:t>0.3</w:t>
            </w:r>
          </w:p>
        </w:tc>
        <w:tc>
          <w:tcPr>
            <w:tcW w:w="524" w:type="pct"/>
          </w:tcPr>
          <w:p w:rsidR="005E4F6E" w:rsidRPr="00F61AD0" w:rsidRDefault="005E4F6E" w:rsidP="005E4F6E">
            <w:pPr>
              <w:pStyle w:val="TableText"/>
              <w:rPr>
                <w:sz w:val="19"/>
                <w:szCs w:val="19"/>
              </w:rPr>
            </w:pPr>
            <w:r w:rsidRPr="00F61AD0">
              <w:rPr>
                <w:w w:val="103"/>
                <w:sz w:val="19"/>
                <w:szCs w:val="19"/>
              </w:rPr>
              <w:t>5</w:t>
            </w:r>
          </w:p>
        </w:tc>
        <w:tc>
          <w:tcPr>
            <w:tcW w:w="524" w:type="pct"/>
          </w:tcPr>
          <w:p w:rsidR="005E4F6E" w:rsidRPr="00F61AD0" w:rsidRDefault="005E4F6E" w:rsidP="005E4F6E">
            <w:pPr>
              <w:pStyle w:val="TableText"/>
              <w:rPr>
                <w:sz w:val="19"/>
                <w:szCs w:val="19"/>
              </w:rPr>
            </w:pPr>
            <w:r w:rsidRPr="00F61AD0">
              <w:rPr>
                <w:w w:val="105"/>
                <w:sz w:val="19"/>
                <w:szCs w:val="19"/>
              </w:rPr>
              <w:t>2.2</w:t>
            </w:r>
          </w:p>
        </w:tc>
        <w:tc>
          <w:tcPr>
            <w:tcW w:w="524" w:type="pct"/>
          </w:tcPr>
          <w:p w:rsidR="005E4F6E" w:rsidRPr="00F61AD0" w:rsidRDefault="005E4F6E" w:rsidP="005E4F6E">
            <w:pPr>
              <w:pStyle w:val="TableText"/>
              <w:rPr>
                <w:sz w:val="19"/>
                <w:szCs w:val="19"/>
              </w:rPr>
            </w:pPr>
            <w:r w:rsidRPr="00F61AD0">
              <w:rPr>
                <w:sz w:val="19"/>
                <w:szCs w:val="19"/>
              </w:rPr>
              <w:t>-</w:t>
            </w:r>
          </w:p>
        </w:tc>
        <w:tc>
          <w:tcPr>
            <w:tcW w:w="524" w:type="pct"/>
          </w:tcPr>
          <w:p w:rsidR="005E4F6E" w:rsidRPr="00F61AD0" w:rsidRDefault="005E4F6E" w:rsidP="005E4F6E">
            <w:pPr>
              <w:pStyle w:val="TableText"/>
              <w:rPr>
                <w:sz w:val="19"/>
                <w:szCs w:val="19"/>
              </w:rPr>
            </w:pPr>
            <w:r w:rsidRPr="00F61AD0">
              <w:rPr>
                <w:sz w:val="19"/>
                <w:szCs w:val="19"/>
              </w:rPr>
              <w:t>-</w:t>
            </w:r>
          </w:p>
        </w:tc>
        <w:tc>
          <w:tcPr>
            <w:tcW w:w="522" w:type="pct"/>
          </w:tcPr>
          <w:p w:rsidR="005E4F6E" w:rsidRPr="00F61AD0" w:rsidRDefault="005E4F6E" w:rsidP="005E4F6E">
            <w:pPr>
              <w:pStyle w:val="TableText"/>
              <w:rPr>
                <w:sz w:val="19"/>
                <w:szCs w:val="19"/>
              </w:rPr>
            </w:pPr>
            <w:r w:rsidRPr="00F61AD0">
              <w:rPr>
                <w:sz w:val="19"/>
                <w:szCs w:val="19"/>
              </w:rPr>
              <w:t>6</w:t>
            </w:r>
          </w:p>
        </w:tc>
      </w:tr>
      <w:tr w:rsidR="005E4F6E" w:rsidRPr="00F61AD0" w:rsidTr="005E4F6E">
        <w:tc>
          <w:tcPr>
            <w:tcW w:w="1334" w:type="pct"/>
            <w:tcBorders>
              <w:bottom w:val="single" w:sz="4" w:space="0" w:color="auto"/>
            </w:tcBorders>
          </w:tcPr>
          <w:p w:rsidR="005E4F6E" w:rsidRPr="00F61AD0" w:rsidRDefault="005E4F6E" w:rsidP="005E4F6E">
            <w:pPr>
              <w:pStyle w:val="TableText"/>
              <w:rPr>
                <w:sz w:val="19"/>
                <w:szCs w:val="19"/>
              </w:rPr>
            </w:pPr>
            <w:r w:rsidRPr="00F61AD0">
              <w:rPr>
                <w:w w:val="105"/>
                <w:sz w:val="19"/>
                <w:szCs w:val="19"/>
              </w:rPr>
              <w:t>Disability</w:t>
            </w:r>
          </w:p>
        </w:tc>
        <w:tc>
          <w:tcPr>
            <w:tcW w:w="524" w:type="pct"/>
            <w:tcBorders>
              <w:bottom w:val="single" w:sz="4" w:space="0" w:color="auto"/>
            </w:tcBorders>
          </w:tcPr>
          <w:p w:rsidR="005E4F6E" w:rsidRPr="00F61AD0" w:rsidRDefault="005E4F6E" w:rsidP="005E4F6E">
            <w:pPr>
              <w:pStyle w:val="TableText"/>
              <w:rPr>
                <w:sz w:val="19"/>
                <w:szCs w:val="19"/>
              </w:rPr>
            </w:pPr>
            <w:r w:rsidRPr="00F61AD0">
              <w:rPr>
                <w:w w:val="103"/>
                <w:sz w:val="19"/>
                <w:szCs w:val="19"/>
              </w:rPr>
              <w:t>-</w:t>
            </w:r>
          </w:p>
        </w:tc>
        <w:tc>
          <w:tcPr>
            <w:tcW w:w="524" w:type="pct"/>
            <w:tcBorders>
              <w:bottom w:val="single" w:sz="4" w:space="0" w:color="auto"/>
            </w:tcBorders>
          </w:tcPr>
          <w:p w:rsidR="005E4F6E" w:rsidRPr="00F61AD0" w:rsidRDefault="005E4F6E" w:rsidP="005E4F6E">
            <w:pPr>
              <w:pStyle w:val="TableText"/>
              <w:rPr>
                <w:sz w:val="19"/>
                <w:szCs w:val="19"/>
              </w:rPr>
            </w:pPr>
            <w:r w:rsidRPr="00F61AD0">
              <w:rPr>
                <w:w w:val="103"/>
                <w:sz w:val="19"/>
                <w:szCs w:val="19"/>
              </w:rPr>
              <w:t>-</w:t>
            </w:r>
          </w:p>
        </w:tc>
        <w:tc>
          <w:tcPr>
            <w:tcW w:w="524" w:type="pct"/>
            <w:tcBorders>
              <w:bottom w:val="single" w:sz="4" w:space="0" w:color="auto"/>
            </w:tcBorders>
          </w:tcPr>
          <w:p w:rsidR="005E4F6E" w:rsidRPr="00F61AD0" w:rsidRDefault="005E4F6E" w:rsidP="005E4F6E">
            <w:pPr>
              <w:pStyle w:val="TableText"/>
              <w:rPr>
                <w:sz w:val="19"/>
                <w:szCs w:val="19"/>
              </w:rPr>
            </w:pPr>
            <w:r w:rsidRPr="00F61AD0">
              <w:rPr>
                <w:w w:val="103"/>
                <w:sz w:val="19"/>
                <w:szCs w:val="19"/>
              </w:rPr>
              <w:t>4</w:t>
            </w:r>
          </w:p>
        </w:tc>
        <w:tc>
          <w:tcPr>
            <w:tcW w:w="524" w:type="pct"/>
            <w:tcBorders>
              <w:bottom w:val="single" w:sz="4" w:space="0" w:color="auto"/>
            </w:tcBorders>
          </w:tcPr>
          <w:p w:rsidR="005E4F6E" w:rsidRPr="00F61AD0" w:rsidRDefault="005E4F6E" w:rsidP="005E4F6E">
            <w:pPr>
              <w:pStyle w:val="TableText"/>
              <w:rPr>
                <w:sz w:val="19"/>
                <w:szCs w:val="19"/>
              </w:rPr>
            </w:pPr>
            <w:r w:rsidRPr="00F61AD0">
              <w:rPr>
                <w:w w:val="105"/>
                <w:sz w:val="19"/>
                <w:szCs w:val="19"/>
              </w:rPr>
              <w:t>1.7</w:t>
            </w:r>
          </w:p>
        </w:tc>
        <w:tc>
          <w:tcPr>
            <w:tcW w:w="524" w:type="pct"/>
            <w:tcBorders>
              <w:bottom w:val="single" w:sz="4" w:space="0" w:color="auto"/>
            </w:tcBorders>
          </w:tcPr>
          <w:p w:rsidR="005E4F6E" w:rsidRPr="00F61AD0" w:rsidRDefault="005E4F6E" w:rsidP="005E4F6E">
            <w:pPr>
              <w:pStyle w:val="TableText"/>
              <w:rPr>
                <w:sz w:val="19"/>
                <w:szCs w:val="19"/>
              </w:rPr>
            </w:pPr>
            <w:r w:rsidRPr="00F61AD0">
              <w:rPr>
                <w:sz w:val="19"/>
                <w:szCs w:val="19"/>
              </w:rPr>
              <w:t>-</w:t>
            </w:r>
          </w:p>
        </w:tc>
        <w:tc>
          <w:tcPr>
            <w:tcW w:w="524" w:type="pct"/>
            <w:tcBorders>
              <w:bottom w:val="single" w:sz="4" w:space="0" w:color="auto"/>
            </w:tcBorders>
          </w:tcPr>
          <w:p w:rsidR="005E4F6E" w:rsidRPr="00F61AD0" w:rsidRDefault="005E4F6E" w:rsidP="005E4F6E">
            <w:pPr>
              <w:pStyle w:val="TableText"/>
              <w:rPr>
                <w:sz w:val="19"/>
                <w:szCs w:val="19"/>
              </w:rPr>
            </w:pPr>
            <w:r w:rsidRPr="00F61AD0">
              <w:rPr>
                <w:sz w:val="19"/>
                <w:szCs w:val="19"/>
              </w:rPr>
              <w:t>-</w:t>
            </w:r>
          </w:p>
        </w:tc>
        <w:tc>
          <w:tcPr>
            <w:tcW w:w="522" w:type="pct"/>
            <w:tcBorders>
              <w:bottom w:val="single" w:sz="4" w:space="0" w:color="auto"/>
            </w:tcBorders>
          </w:tcPr>
          <w:p w:rsidR="005E4F6E" w:rsidRPr="00F61AD0" w:rsidRDefault="005E4F6E" w:rsidP="005E4F6E">
            <w:pPr>
              <w:pStyle w:val="TableText"/>
              <w:rPr>
                <w:sz w:val="19"/>
                <w:szCs w:val="19"/>
              </w:rPr>
            </w:pPr>
            <w:r w:rsidRPr="00F61AD0">
              <w:rPr>
                <w:sz w:val="19"/>
                <w:szCs w:val="19"/>
              </w:rPr>
              <w:t>4</w:t>
            </w:r>
          </w:p>
        </w:tc>
      </w:tr>
      <w:tr w:rsidR="005E4F6E" w:rsidRPr="00F61AD0" w:rsidTr="005E4F6E">
        <w:tc>
          <w:tcPr>
            <w:tcW w:w="1334" w:type="pct"/>
            <w:tcBorders>
              <w:top w:val="single" w:sz="4" w:space="0" w:color="auto"/>
              <w:left w:val="single" w:sz="4" w:space="0" w:color="auto"/>
              <w:bottom w:val="single" w:sz="4" w:space="0" w:color="auto"/>
              <w:right w:val="nil"/>
            </w:tcBorders>
            <w:shd w:val="clear" w:color="auto" w:fill="F2F2F2" w:themeFill="background1" w:themeFillShade="F2"/>
          </w:tcPr>
          <w:p w:rsidR="005E4F6E" w:rsidRPr="00F61AD0" w:rsidRDefault="005E4F6E" w:rsidP="005E4F6E">
            <w:pPr>
              <w:pStyle w:val="TableText"/>
              <w:rPr>
                <w:b/>
                <w:sz w:val="19"/>
                <w:szCs w:val="19"/>
              </w:rPr>
            </w:pPr>
            <w:r w:rsidRPr="00F61AD0">
              <w:rPr>
                <w:b/>
                <w:w w:val="105"/>
                <w:sz w:val="19"/>
                <w:szCs w:val="19"/>
              </w:rPr>
              <w:t>Scholarship recipient</w:t>
            </w:r>
          </w:p>
        </w:tc>
        <w:tc>
          <w:tcPr>
            <w:tcW w:w="524" w:type="pct"/>
            <w:tcBorders>
              <w:top w:val="single" w:sz="4" w:space="0" w:color="auto"/>
              <w:left w:val="nil"/>
              <w:bottom w:val="single" w:sz="4" w:space="0" w:color="auto"/>
              <w:right w:val="nil"/>
            </w:tcBorders>
            <w:shd w:val="clear" w:color="auto" w:fill="F2F2F2" w:themeFill="background1" w:themeFillShade="F2"/>
          </w:tcPr>
          <w:p w:rsidR="005E4F6E" w:rsidRPr="00F61AD0" w:rsidRDefault="005E4F6E" w:rsidP="005E4F6E">
            <w:pPr>
              <w:pStyle w:val="TableText"/>
              <w:rPr>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5E4F6E" w:rsidRPr="00F61AD0" w:rsidRDefault="005E4F6E" w:rsidP="005E4F6E">
            <w:pPr>
              <w:pStyle w:val="TableText"/>
              <w:rPr>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5E4F6E" w:rsidRPr="00F61AD0" w:rsidRDefault="005E4F6E" w:rsidP="005E4F6E">
            <w:pPr>
              <w:pStyle w:val="TableText"/>
              <w:rPr>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5E4F6E" w:rsidRPr="00F61AD0" w:rsidRDefault="005E4F6E" w:rsidP="005E4F6E">
            <w:pPr>
              <w:pStyle w:val="TableText"/>
              <w:rPr>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5E4F6E" w:rsidRPr="00F61AD0" w:rsidRDefault="005E4F6E" w:rsidP="005E4F6E">
            <w:pPr>
              <w:pStyle w:val="TableText"/>
              <w:rPr>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5E4F6E" w:rsidRPr="00F61AD0" w:rsidRDefault="005E4F6E" w:rsidP="005E4F6E">
            <w:pPr>
              <w:pStyle w:val="TableText"/>
              <w:rPr>
                <w:sz w:val="19"/>
                <w:szCs w:val="19"/>
              </w:rPr>
            </w:pPr>
          </w:p>
        </w:tc>
        <w:tc>
          <w:tcPr>
            <w:tcW w:w="522" w:type="pct"/>
            <w:tcBorders>
              <w:top w:val="single" w:sz="4" w:space="0" w:color="auto"/>
              <w:left w:val="nil"/>
              <w:bottom w:val="single" w:sz="4" w:space="0" w:color="auto"/>
              <w:right w:val="single" w:sz="4" w:space="0" w:color="auto"/>
            </w:tcBorders>
            <w:shd w:val="clear" w:color="auto" w:fill="F2F2F2" w:themeFill="background1" w:themeFillShade="F2"/>
          </w:tcPr>
          <w:p w:rsidR="005E4F6E" w:rsidRPr="00F61AD0" w:rsidRDefault="005E4F6E" w:rsidP="005E4F6E">
            <w:pPr>
              <w:pStyle w:val="TableText"/>
              <w:rPr>
                <w:sz w:val="19"/>
                <w:szCs w:val="19"/>
              </w:rPr>
            </w:pPr>
          </w:p>
        </w:tc>
      </w:tr>
      <w:tr w:rsidR="005E4F6E" w:rsidRPr="00F61AD0" w:rsidTr="005E4F6E">
        <w:tc>
          <w:tcPr>
            <w:tcW w:w="1334" w:type="pct"/>
            <w:tcBorders>
              <w:top w:val="single" w:sz="4" w:space="0" w:color="auto"/>
              <w:bottom w:val="single" w:sz="4" w:space="0" w:color="auto"/>
            </w:tcBorders>
          </w:tcPr>
          <w:p w:rsidR="005E4F6E" w:rsidRPr="00F61AD0" w:rsidRDefault="005E4F6E" w:rsidP="005E4F6E">
            <w:pPr>
              <w:pStyle w:val="TableText"/>
              <w:rPr>
                <w:b/>
                <w:w w:val="105"/>
                <w:sz w:val="19"/>
                <w:szCs w:val="19"/>
              </w:rPr>
            </w:pPr>
          </w:p>
        </w:tc>
        <w:tc>
          <w:tcPr>
            <w:tcW w:w="524" w:type="pct"/>
            <w:tcBorders>
              <w:top w:val="single" w:sz="4" w:space="0" w:color="auto"/>
              <w:bottom w:val="single" w:sz="4" w:space="0" w:color="auto"/>
            </w:tcBorders>
          </w:tcPr>
          <w:p w:rsidR="005E4F6E" w:rsidRPr="00F61AD0" w:rsidRDefault="005E4F6E" w:rsidP="005E4F6E">
            <w:pPr>
              <w:pStyle w:val="TableText"/>
              <w:rPr>
                <w:sz w:val="19"/>
                <w:szCs w:val="19"/>
              </w:rPr>
            </w:pPr>
            <w:r w:rsidRPr="00F61AD0">
              <w:rPr>
                <w:w w:val="105"/>
                <w:sz w:val="19"/>
                <w:szCs w:val="19"/>
              </w:rPr>
              <w:t>120</w:t>
            </w:r>
          </w:p>
        </w:tc>
        <w:tc>
          <w:tcPr>
            <w:tcW w:w="524" w:type="pct"/>
            <w:tcBorders>
              <w:top w:val="single" w:sz="4" w:space="0" w:color="auto"/>
              <w:bottom w:val="single" w:sz="4" w:space="0" w:color="auto"/>
            </w:tcBorders>
          </w:tcPr>
          <w:p w:rsidR="005E4F6E" w:rsidRPr="00F61AD0" w:rsidRDefault="005E4F6E" w:rsidP="005E4F6E">
            <w:pPr>
              <w:pStyle w:val="TableText"/>
              <w:rPr>
                <w:sz w:val="19"/>
                <w:szCs w:val="19"/>
              </w:rPr>
            </w:pPr>
            <w:r w:rsidRPr="00F61AD0">
              <w:rPr>
                <w:w w:val="105"/>
                <w:sz w:val="19"/>
                <w:szCs w:val="19"/>
              </w:rPr>
              <w:t>33.0</w:t>
            </w:r>
          </w:p>
        </w:tc>
        <w:tc>
          <w:tcPr>
            <w:tcW w:w="524" w:type="pct"/>
            <w:tcBorders>
              <w:top w:val="single" w:sz="4" w:space="0" w:color="auto"/>
              <w:bottom w:val="single" w:sz="4" w:space="0" w:color="auto"/>
            </w:tcBorders>
          </w:tcPr>
          <w:p w:rsidR="005E4F6E" w:rsidRPr="00F61AD0" w:rsidRDefault="005E4F6E" w:rsidP="005E4F6E">
            <w:pPr>
              <w:pStyle w:val="TableText"/>
              <w:rPr>
                <w:sz w:val="19"/>
                <w:szCs w:val="19"/>
              </w:rPr>
            </w:pPr>
            <w:r w:rsidRPr="00F61AD0">
              <w:rPr>
                <w:w w:val="105"/>
                <w:sz w:val="19"/>
                <w:szCs w:val="19"/>
              </w:rPr>
              <w:t>64</w:t>
            </w:r>
          </w:p>
        </w:tc>
        <w:tc>
          <w:tcPr>
            <w:tcW w:w="524" w:type="pct"/>
            <w:tcBorders>
              <w:top w:val="single" w:sz="4" w:space="0" w:color="auto"/>
              <w:bottom w:val="single" w:sz="4" w:space="0" w:color="auto"/>
            </w:tcBorders>
          </w:tcPr>
          <w:p w:rsidR="005E4F6E" w:rsidRPr="00F61AD0" w:rsidRDefault="005E4F6E" w:rsidP="005E4F6E">
            <w:pPr>
              <w:pStyle w:val="TableText"/>
              <w:rPr>
                <w:sz w:val="19"/>
                <w:szCs w:val="19"/>
              </w:rPr>
            </w:pPr>
            <w:r w:rsidRPr="00F61AD0">
              <w:rPr>
                <w:w w:val="105"/>
                <w:sz w:val="19"/>
                <w:szCs w:val="19"/>
              </w:rPr>
              <w:t>27.7</w:t>
            </w:r>
          </w:p>
        </w:tc>
        <w:tc>
          <w:tcPr>
            <w:tcW w:w="524" w:type="pct"/>
            <w:tcBorders>
              <w:top w:val="single" w:sz="4" w:space="0" w:color="auto"/>
              <w:bottom w:val="single" w:sz="4" w:space="0" w:color="auto"/>
            </w:tcBorders>
          </w:tcPr>
          <w:p w:rsidR="005E4F6E" w:rsidRPr="00F61AD0" w:rsidRDefault="005E4F6E" w:rsidP="005E4F6E">
            <w:pPr>
              <w:pStyle w:val="TableText"/>
              <w:rPr>
                <w:sz w:val="19"/>
                <w:szCs w:val="19"/>
              </w:rPr>
            </w:pPr>
            <w:r w:rsidRPr="00F61AD0">
              <w:rPr>
                <w:sz w:val="19"/>
                <w:szCs w:val="19"/>
              </w:rPr>
              <w:t>1</w:t>
            </w:r>
          </w:p>
        </w:tc>
        <w:tc>
          <w:tcPr>
            <w:tcW w:w="524" w:type="pct"/>
            <w:tcBorders>
              <w:top w:val="single" w:sz="4" w:space="0" w:color="auto"/>
              <w:bottom w:val="single" w:sz="4" w:space="0" w:color="auto"/>
            </w:tcBorders>
          </w:tcPr>
          <w:p w:rsidR="005E4F6E" w:rsidRPr="00F61AD0" w:rsidRDefault="005E4F6E" w:rsidP="005E4F6E">
            <w:pPr>
              <w:pStyle w:val="TableText"/>
              <w:rPr>
                <w:sz w:val="19"/>
                <w:szCs w:val="19"/>
              </w:rPr>
            </w:pPr>
            <w:r w:rsidRPr="00F61AD0">
              <w:rPr>
                <w:sz w:val="19"/>
                <w:szCs w:val="19"/>
              </w:rPr>
              <w:t>8.3</w:t>
            </w:r>
          </w:p>
        </w:tc>
        <w:tc>
          <w:tcPr>
            <w:tcW w:w="522" w:type="pct"/>
            <w:tcBorders>
              <w:top w:val="single" w:sz="4" w:space="0" w:color="auto"/>
              <w:bottom w:val="single" w:sz="4" w:space="0" w:color="auto"/>
            </w:tcBorders>
          </w:tcPr>
          <w:p w:rsidR="005E4F6E" w:rsidRPr="00F61AD0" w:rsidRDefault="005E4F6E" w:rsidP="005E4F6E">
            <w:pPr>
              <w:pStyle w:val="TableText"/>
              <w:rPr>
                <w:sz w:val="19"/>
                <w:szCs w:val="19"/>
              </w:rPr>
            </w:pPr>
            <w:r w:rsidRPr="00F61AD0">
              <w:rPr>
                <w:sz w:val="19"/>
                <w:szCs w:val="19"/>
              </w:rPr>
              <w:t>185</w:t>
            </w:r>
          </w:p>
        </w:tc>
      </w:tr>
      <w:tr w:rsidR="005E4F6E" w:rsidRPr="00F61AD0" w:rsidTr="005E4F6E">
        <w:tc>
          <w:tcPr>
            <w:tcW w:w="1334" w:type="pct"/>
            <w:tcBorders>
              <w:top w:val="single" w:sz="4" w:space="0" w:color="auto"/>
              <w:left w:val="single" w:sz="4" w:space="0" w:color="auto"/>
              <w:bottom w:val="single" w:sz="4" w:space="0" w:color="auto"/>
              <w:right w:val="nil"/>
            </w:tcBorders>
            <w:shd w:val="clear" w:color="auto" w:fill="F2F2F2" w:themeFill="background1" w:themeFillShade="F2"/>
          </w:tcPr>
          <w:p w:rsidR="005E4F6E" w:rsidRPr="00F61AD0" w:rsidRDefault="005E4F6E" w:rsidP="005E4F6E">
            <w:pPr>
              <w:pStyle w:val="TableText"/>
              <w:rPr>
                <w:b/>
                <w:sz w:val="19"/>
                <w:szCs w:val="19"/>
              </w:rPr>
            </w:pPr>
            <w:r w:rsidRPr="00F61AD0">
              <w:rPr>
                <w:b/>
                <w:w w:val="105"/>
                <w:sz w:val="19"/>
                <w:szCs w:val="19"/>
              </w:rPr>
              <w:t>ASGS Classification</w:t>
            </w:r>
          </w:p>
        </w:tc>
        <w:tc>
          <w:tcPr>
            <w:tcW w:w="524" w:type="pct"/>
            <w:tcBorders>
              <w:top w:val="single" w:sz="4" w:space="0" w:color="auto"/>
              <w:left w:val="nil"/>
              <w:bottom w:val="single" w:sz="4" w:space="0" w:color="auto"/>
              <w:right w:val="nil"/>
            </w:tcBorders>
            <w:shd w:val="clear" w:color="auto" w:fill="F2F2F2" w:themeFill="background1" w:themeFillShade="F2"/>
          </w:tcPr>
          <w:p w:rsidR="005E4F6E" w:rsidRPr="00F61AD0" w:rsidRDefault="005E4F6E" w:rsidP="005E4F6E">
            <w:pPr>
              <w:pStyle w:val="TableText"/>
              <w:rPr>
                <w:rFonts w:ascii="Times New Roman"/>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5E4F6E" w:rsidRPr="00F61AD0" w:rsidRDefault="005E4F6E" w:rsidP="005E4F6E">
            <w:pPr>
              <w:pStyle w:val="TableText"/>
              <w:rPr>
                <w:rFonts w:ascii="Times New Roman"/>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5E4F6E" w:rsidRPr="00F61AD0" w:rsidRDefault="005E4F6E" w:rsidP="005E4F6E">
            <w:pPr>
              <w:pStyle w:val="TableText"/>
              <w:rPr>
                <w:rFonts w:ascii="Times New Roman"/>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5E4F6E" w:rsidRPr="00F61AD0" w:rsidRDefault="005E4F6E" w:rsidP="005E4F6E">
            <w:pPr>
              <w:pStyle w:val="TableText"/>
              <w:rPr>
                <w:rFonts w:ascii="Times New Roman"/>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5E4F6E" w:rsidRPr="00F61AD0" w:rsidRDefault="005E4F6E" w:rsidP="005E4F6E">
            <w:pPr>
              <w:pStyle w:val="TableText"/>
              <w:rPr>
                <w:rFonts w:ascii="Times New Roman"/>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5E4F6E" w:rsidRPr="00F61AD0" w:rsidRDefault="005E4F6E" w:rsidP="005E4F6E">
            <w:pPr>
              <w:pStyle w:val="TableText"/>
              <w:rPr>
                <w:rFonts w:ascii="Times New Roman"/>
                <w:sz w:val="19"/>
                <w:szCs w:val="19"/>
              </w:rPr>
            </w:pPr>
          </w:p>
        </w:tc>
        <w:tc>
          <w:tcPr>
            <w:tcW w:w="522" w:type="pct"/>
            <w:tcBorders>
              <w:top w:val="single" w:sz="4" w:space="0" w:color="auto"/>
              <w:left w:val="nil"/>
              <w:bottom w:val="single" w:sz="4" w:space="0" w:color="auto"/>
              <w:right w:val="single" w:sz="4" w:space="0" w:color="auto"/>
            </w:tcBorders>
            <w:shd w:val="clear" w:color="auto" w:fill="F2F2F2" w:themeFill="background1" w:themeFillShade="F2"/>
          </w:tcPr>
          <w:p w:rsidR="005E4F6E" w:rsidRPr="00F61AD0" w:rsidRDefault="005E4F6E" w:rsidP="005E4F6E">
            <w:pPr>
              <w:pStyle w:val="TableText"/>
              <w:rPr>
                <w:rFonts w:ascii="Times New Roman"/>
                <w:sz w:val="19"/>
                <w:szCs w:val="19"/>
              </w:rPr>
            </w:pPr>
          </w:p>
        </w:tc>
      </w:tr>
      <w:tr w:rsidR="005E4F6E" w:rsidRPr="00F61AD0" w:rsidTr="005E4F6E">
        <w:tc>
          <w:tcPr>
            <w:tcW w:w="1334" w:type="pct"/>
            <w:tcBorders>
              <w:top w:val="single" w:sz="4" w:space="0" w:color="auto"/>
            </w:tcBorders>
          </w:tcPr>
          <w:p w:rsidR="005E4F6E" w:rsidRPr="00F61AD0" w:rsidRDefault="005E4F6E" w:rsidP="005E4F6E">
            <w:pPr>
              <w:pStyle w:val="TableText"/>
              <w:rPr>
                <w:sz w:val="19"/>
                <w:szCs w:val="19"/>
              </w:rPr>
            </w:pPr>
            <w:r w:rsidRPr="00F61AD0">
              <w:rPr>
                <w:w w:val="105"/>
                <w:sz w:val="19"/>
                <w:szCs w:val="19"/>
              </w:rPr>
              <w:t>Inner Regional</w:t>
            </w:r>
          </w:p>
        </w:tc>
        <w:tc>
          <w:tcPr>
            <w:tcW w:w="524" w:type="pct"/>
            <w:tcBorders>
              <w:top w:val="single" w:sz="4" w:space="0" w:color="auto"/>
            </w:tcBorders>
          </w:tcPr>
          <w:p w:rsidR="005E4F6E" w:rsidRPr="00F61AD0" w:rsidRDefault="005E4F6E" w:rsidP="005E4F6E">
            <w:pPr>
              <w:pStyle w:val="TableText"/>
              <w:rPr>
                <w:sz w:val="19"/>
                <w:szCs w:val="19"/>
              </w:rPr>
            </w:pPr>
            <w:r w:rsidRPr="00F61AD0">
              <w:rPr>
                <w:w w:val="105"/>
                <w:sz w:val="19"/>
                <w:szCs w:val="19"/>
              </w:rPr>
              <w:t>80</w:t>
            </w:r>
          </w:p>
        </w:tc>
        <w:tc>
          <w:tcPr>
            <w:tcW w:w="524" w:type="pct"/>
            <w:tcBorders>
              <w:top w:val="single" w:sz="4" w:space="0" w:color="auto"/>
            </w:tcBorders>
          </w:tcPr>
          <w:p w:rsidR="005E4F6E" w:rsidRPr="00F61AD0" w:rsidRDefault="005E4F6E" w:rsidP="005E4F6E">
            <w:pPr>
              <w:pStyle w:val="TableText"/>
              <w:rPr>
                <w:sz w:val="19"/>
                <w:szCs w:val="19"/>
              </w:rPr>
            </w:pPr>
            <w:r w:rsidRPr="00F61AD0">
              <w:rPr>
                <w:w w:val="105"/>
                <w:sz w:val="19"/>
                <w:szCs w:val="19"/>
              </w:rPr>
              <w:t>22.0</w:t>
            </w:r>
          </w:p>
        </w:tc>
        <w:tc>
          <w:tcPr>
            <w:tcW w:w="524" w:type="pct"/>
            <w:tcBorders>
              <w:top w:val="single" w:sz="4" w:space="0" w:color="auto"/>
            </w:tcBorders>
          </w:tcPr>
          <w:p w:rsidR="005E4F6E" w:rsidRPr="00F61AD0" w:rsidRDefault="005E4F6E" w:rsidP="005E4F6E">
            <w:pPr>
              <w:pStyle w:val="TableText"/>
              <w:rPr>
                <w:sz w:val="19"/>
                <w:szCs w:val="19"/>
              </w:rPr>
            </w:pPr>
            <w:r w:rsidRPr="00F61AD0">
              <w:rPr>
                <w:w w:val="105"/>
                <w:sz w:val="19"/>
                <w:szCs w:val="19"/>
              </w:rPr>
              <w:t>85</w:t>
            </w:r>
          </w:p>
        </w:tc>
        <w:tc>
          <w:tcPr>
            <w:tcW w:w="524" w:type="pct"/>
            <w:tcBorders>
              <w:top w:val="single" w:sz="4" w:space="0" w:color="auto"/>
            </w:tcBorders>
          </w:tcPr>
          <w:p w:rsidR="005E4F6E" w:rsidRPr="00F61AD0" w:rsidRDefault="005E4F6E" w:rsidP="005E4F6E">
            <w:pPr>
              <w:pStyle w:val="TableText"/>
              <w:rPr>
                <w:sz w:val="19"/>
                <w:szCs w:val="19"/>
              </w:rPr>
            </w:pPr>
            <w:r w:rsidRPr="00F61AD0">
              <w:rPr>
                <w:w w:val="105"/>
                <w:sz w:val="19"/>
                <w:szCs w:val="19"/>
              </w:rPr>
              <w:t>36.8</w:t>
            </w:r>
          </w:p>
        </w:tc>
        <w:tc>
          <w:tcPr>
            <w:tcW w:w="524" w:type="pct"/>
            <w:tcBorders>
              <w:top w:val="single" w:sz="4" w:space="0" w:color="auto"/>
            </w:tcBorders>
          </w:tcPr>
          <w:p w:rsidR="005E4F6E" w:rsidRPr="00F61AD0" w:rsidRDefault="005E4F6E" w:rsidP="005E4F6E">
            <w:pPr>
              <w:pStyle w:val="TableText"/>
              <w:rPr>
                <w:sz w:val="19"/>
                <w:szCs w:val="19"/>
              </w:rPr>
            </w:pPr>
            <w:r w:rsidRPr="00F61AD0">
              <w:rPr>
                <w:sz w:val="19"/>
                <w:szCs w:val="19"/>
              </w:rPr>
              <w:t>2</w:t>
            </w:r>
          </w:p>
        </w:tc>
        <w:tc>
          <w:tcPr>
            <w:tcW w:w="524" w:type="pct"/>
            <w:tcBorders>
              <w:top w:val="single" w:sz="4" w:space="0" w:color="auto"/>
            </w:tcBorders>
          </w:tcPr>
          <w:p w:rsidR="005E4F6E" w:rsidRPr="00F61AD0" w:rsidRDefault="005E4F6E" w:rsidP="005E4F6E">
            <w:pPr>
              <w:pStyle w:val="TableText"/>
              <w:rPr>
                <w:sz w:val="19"/>
                <w:szCs w:val="19"/>
              </w:rPr>
            </w:pPr>
            <w:r w:rsidRPr="00F61AD0">
              <w:rPr>
                <w:sz w:val="19"/>
                <w:szCs w:val="19"/>
              </w:rPr>
              <w:t>16.7</w:t>
            </w:r>
          </w:p>
        </w:tc>
        <w:tc>
          <w:tcPr>
            <w:tcW w:w="522" w:type="pct"/>
            <w:tcBorders>
              <w:top w:val="single" w:sz="4" w:space="0" w:color="auto"/>
            </w:tcBorders>
          </w:tcPr>
          <w:p w:rsidR="005E4F6E" w:rsidRPr="00F61AD0" w:rsidRDefault="005E4F6E" w:rsidP="005E4F6E">
            <w:pPr>
              <w:pStyle w:val="TableText"/>
              <w:rPr>
                <w:sz w:val="19"/>
                <w:szCs w:val="19"/>
              </w:rPr>
            </w:pPr>
            <w:r w:rsidRPr="00F61AD0">
              <w:rPr>
                <w:sz w:val="19"/>
                <w:szCs w:val="19"/>
              </w:rPr>
              <w:t>167</w:t>
            </w:r>
          </w:p>
        </w:tc>
      </w:tr>
      <w:tr w:rsidR="005E4F6E" w:rsidRPr="00F61AD0" w:rsidTr="005E4F6E">
        <w:tc>
          <w:tcPr>
            <w:tcW w:w="1334" w:type="pct"/>
          </w:tcPr>
          <w:p w:rsidR="005E4F6E" w:rsidRPr="00F61AD0" w:rsidRDefault="005E4F6E" w:rsidP="005E4F6E">
            <w:pPr>
              <w:pStyle w:val="TableText"/>
              <w:rPr>
                <w:sz w:val="19"/>
                <w:szCs w:val="19"/>
              </w:rPr>
            </w:pPr>
            <w:r w:rsidRPr="00F61AD0">
              <w:rPr>
                <w:w w:val="105"/>
                <w:sz w:val="19"/>
                <w:szCs w:val="19"/>
              </w:rPr>
              <w:t>Outer Regional</w:t>
            </w:r>
          </w:p>
        </w:tc>
        <w:tc>
          <w:tcPr>
            <w:tcW w:w="524" w:type="pct"/>
          </w:tcPr>
          <w:p w:rsidR="005E4F6E" w:rsidRPr="00F61AD0" w:rsidRDefault="005E4F6E" w:rsidP="005E4F6E">
            <w:pPr>
              <w:pStyle w:val="TableText"/>
              <w:rPr>
                <w:sz w:val="19"/>
                <w:szCs w:val="19"/>
              </w:rPr>
            </w:pPr>
            <w:r w:rsidRPr="00F61AD0">
              <w:rPr>
                <w:w w:val="105"/>
                <w:sz w:val="19"/>
                <w:szCs w:val="19"/>
              </w:rPr>
              <w:t>208</w:t>
            </w:r>
          </w:p>
        </w:tc>
        <w:tc>
          <w:tcPr>
            <w:tcW w:w="524" w:type="pct"/>
          </w:tcPr>
          <w:p w:rsidR="005E4F6E" w:rsidRPr="00F61AD0" w:rsidRDefault="005E4F6E" w:rsidP="005E4F6E">
            <w:pPr>
              <w:pStyle w:val="TableText"/>
              <w:rPr>
                <w:sz w:val="19"/>
                <w:szCs w:val="19"/>
              </w:rPr>
            </w:pPr>
            <w:r w:rsidRPr="00F61AD0">
              <w:rPr>
                <w:w w:val="105"/>
                <w:sz w:val="19"/>
                <w:szCs w:val="19"/>
              </w:rPr>
              <w:t>57.1</w:t>
            </w:r>
          </w:p>
        </w:tc>
        <w:tc>
          <w:tcPr>
            <w:tcW w:w="524" w:type="pct"/>
          </w:tcPr>
          <w:p w:rsidR="005E4F6E" w:rsidRPr="00F61AD0" w:rsidRDefault="005E4F6E" w:rsidP="005E4F6E">
            <w:pPr>
              <w:pStyle w:val="TableText"/>
              <w:rPr>
                <w:sz w:val="19"/>
                <w:szCs w:val="19"/>
              </w:rPr>
            </w:pPr>
            <w:r w:rsidRPr="00F61AD0">
              <w:rPr>
                <w:w w:val="105"/>
                <w:sz w:val="19"/>
                <w:szCs w:val="19"/>
              </w:rPr>
              <w:t>122</w:t>
            </w:r>
          </w:p>
        </w:tc>
        <w:tc>
          <w:tcPr>
            <w:tcW w:w="524" w:type="pct"/>
          </w:tcPr>
          <w:p w:rsidR="005E4F6E" w:rsidRPr="00F61AD0" w:rsidRDefault="005E4F6E" w:rsidP="005E4F6E">
            <w:pPr>
              <w:pStyle w:val="TableText"/>
              <w:rPr>
                <w:sz w:val="19"/>
                <w:szCs w:val="19"/>
              </w:rPr>
            </w:pPr>
            <w:r w:rsidRPr="00F61AD0">
              <w:rPr>
                <w:w w:val="105"/>
                <w:sz w:val="19"/>
                <w:szCs w:val="19"/>
              </w:rPr>
              <w:t>52.8</w:t>
            </w:r>
          </w:p>
        </w:tc>
        <w:tc>
          <w:tcPr>
            <w:tcW w:w="524" w:type="pct"/>
          </w:tcPr>
          <w:p w:rsidR="005E4F6E" w:rsidRPr="00F61AD0" w:rsidRDefault="005E4F6E" w:rsidP="005E4F6E">
            <w:pPr>
              <w:pStyle w:val="TableText"/>
              <w:rPr>
                <w:sz w:val="19"/>
                <w:szCs w:val="19"/>
              </w:rPr>
            </w:pPr>
            <w:r w:rsidRPr="00F61AD0">
              <w:rPr>
                <w:sz w:val="19"/>
                <w:szCs w:val="19"/>
              </w:rPr>
              <w:t>7</w:t>
            </w:r>
          </w:p>
        </w:tc>
        <w:tc>
          <w:tcPr>
            <w:tcW w:w="524" w:type="pct"/>
          </w:tcPr>
          <w:p w:rsidR="005E4F6E" w:rsidRPr="00F61AD0" w:rsidRDefault="005E4F6E" w:rsidP="005E4F6E">
            <w:pPr>
              <w:pStyle w:val="TableText"/>
              <w:rPr>
                <w:sz w:val="19"/>
                <w:szCs w:val="19"/>
              </w:rPr>
            </w:pPr>
            <w:r w:rsidRPr="00F61AD0">
              <w:rPr>
                <w:sz w:val="19"/>
                <w:szCs w:val="19"/>
              </w:rPr>
              <w:t>58.3</w:t>
            </w:r>
          </w:p>
        </w:tc>
        <w:tc>
          <w:tcPr>
            <w:tcW w:w="522" w:type="pct"/>
          </w:tcPr>
          <w:p w:rsidR="005E4F6E" w:rsidRPr="00F61AD0" w:rsidRDefault="005E4F6E" w:rsidP="005E4F6E">
            <w:pPr>
              <w:pStyle w:val="TableText"/>
              <w:rPr>
                <w:sz w:val="19"/>
                <w:szCs w:val="19"/>
              </w:rPr>
            </w:pPr>
            <w:r w:rsidRPr="00F61AD0">
              <w:rPr>
                <w:sz w:val="19"/>
                <w:szCs w:val="19"/>
              </w:rPr>
              <w:t>337</w:t>
            </w:r>
          </w:p>
        </w:tc>
      </w:tr>
      <w:tr w:rsidR="005E4F6E" w:rsidRPr="00F61AD0" w:rsidTr="005E4F6E">
        <w:tc>
          <w:tcPr>
            <w:tcW w:w="1334" w:type="pct"/>
          </w:tcPr>
          <w:p w:rsidR="005E4F6E" w:rsidRPr="00F61AD0" w:rsidRDefault="005E4F6E" w:rsidP="005E4F6E">
            <w:pPr>
              <w:pStyle w:val="TableText"/>
              <w:rPr>
                <w:sz w:val="19"/>
                <w:szCs w:val="19"/>
              </w:rPr>
            </w:pPr>
            <w:r w:rsidRPr="00F61AD0">
              <w:rPr>
                <w:w w:val="105"/>
                <w:sz w:val="19"/>
                <w:szCs w:val="19"/>
              </w:rPr>
              <w:t>Remote</w:t>
            </w:r>
          </w:p>
        </w:tc>
        <w:tc>
          <w:tcPr>
            <w:tcW w:w="524" w:type="pct"/>
          </w:tcPr>
          <w:p w:rsidR="005E4F6E" w:rsidRPr="00F61AD0" w:rsidRDefault="005E4F6E" w:rsidP="005E4F6E">
            <w:pPr>
              <w:pStyle w:val="TableText"/>
              <w:rPr>
                <w:sz w:val="19"/>
                <w:szCs w:val="19"/>
              </w:rPr>
            </w:pPr>
            <w:r w:rsidRPr="00F61AD0">
              <w:rPr>
                <w:w w:val="105"/>
                <w:sz w:val="19"/>
                <w:szCs w:val="19"/>
              </w:rPr>
              <w:t>51</w:t>
            </w:r>
          </w:p>
        </w:tc>
        <w:tc>
          <w:tcPr>
            <w:tcW w:w="524" w:type="pct"/>
          </w:tcPr>
          <w:p w:rsidR="005E4F6E" w:rsidRPr="00F61AD0" w:rsidRDefault="005E4F6E" w:rsidP="005E4F6E">
            <w:pPr>
              <w:pStyle w:val="TableText"/>
              <w:rPr>
                <w:sz w:val="19"/>
                <w:szCs w:val="19"/>
              </w:rPr>
            </w:pPr>
            <w:r w:rsidRPr="00F61AD0">
              <w:rPr>
                <w:w w:val="105"/>
                <w:sz w:val="19"/>
                <w:szCs w:val="19"/>
              </w:rPr>
              <w:t>14.0</w:t>
            </w:r>
          </w:p>
        </w:tc>
        <w:tc>
          <w:tcPr>
            <w:tcW w:w="524" w:type="pct"/>
          </w:tcPr>
          <w:p w:rsidR="005E4F6E" w:rsidRPr="00F61AD0" w:rsidRDefault="005E4F6E" w:rsidP="005E4F6E">
            <w:pPr>
              <w:pStyle w:val="TableText"/>
              <w:rPr>
                <w:sz w:val="19"/>
                <w:szCs w:val="19"/>
              </w:rPr>
            </w:pPr>
            <w:r w:rsidRPr="00F61AD0">
              <w:rPr>
                <w:w w:val="105"/>
                <w:sz w:val="19"/>
                <w:szCs w:val="19"/>
              </w:rPr>
              <w:t>18</w:t>
            </w:r>
          </w:p>
        </w:tc>
        <w:tc>
          <w:tcPr>
            <w:tcW w:w="524" w:type="pct"/>
          </w:tcPr>
          <w:p w:rsidR="005E4F6E" w:rsidRPr="00F61AD0" w:rsidRDefault="005E4F6E" w:rsidP="005E4F6E">
            <w:pPr>
              <w:pStyle w:val="TableText"/>
              <w:rPr>
                <w:sz w:val="19"/>
                <w:szCs w:val="19"/>
              </w:rPr>
            </w:pPr>
            <w:r w:rsidRPr="00F61AD0">
              <w:rPr>
                <w:w w:val="105"/>
                <w:sz w:val="19"/>
                <w:szCs w:val="19"/>
              </w:rPr>
              <w:t>7.8</w:t>
            </w:r>
          </w:p>
        </w:tc>
        <w:tc>
          <w:tcPr>
            <w:tcW w:w="524" w:type="pct"/>
          </w:tcPr>
          <w:p w:rsidR="005E4F6E" w:rsidRPr="00F61AD0" w:rsidRDefault="005E4F6E" w:rsidP="005E4F6E">
            <w:pPr>
              <w:pStyle w:val="TableText"/>
              <w:rPr>
                <w:sz w:val="19"/>
                <w:szCs w:val="19"/>
              </w:rPr>
            </w:pPr>
            <w:r w:rsidRPr="00F61AD0">
              <w:rPr>
                <w:sz w:val="19"/>
                <w:szCs w:val="19"/>
              </w:rPr>
              <w:t>1</w:t>
            </w:r>
          </w:p>
        </w:tc>
        <w:tc>
          <w:tcPr>
            <w:tcW w:w="524" w:type="pct"/>
          </w:tcPr>
          <w:p w:rsidR="005E4F6E" w:rsidRPr="00F61AD0" w:rsidRDefault="005E4F6E" w:rsidP="005E4F6E">
            <w:pPr>
              <w:pStyle w:val="TableText"/>
              <w:rPr>
                <w:sz w:val="19"/>
                <w:szCs w:val="19"/>
              </w:rPr>
            </w:pPr>
            <w:r w:rsidRPr="00F61AD0">
              <w:rPr>
                <w:sz w:val="19"/>
                <w:szCs w:val="19"/>
              </w:rPr>
              <w:t>8.3</w:t>
            </w:r>
          </w:p>
        </w:tc>
        <w:tc>
          <w:tcPr>
            <w:tcW w:w="522" w:type="pct"/>
          </w:tcPr>
          <w:p w:rsidR="005E4F6E" w:rsidRPr="00F61AD0" w:rsidRDefault="005E4F6E" w:rsidP="005E4F6E">
            <w:pPr>
              <w:pStyle w:val="TableText"/>
              <w:rPr>
                <w:sz w:val="19"/>
                <w:szCs w:val="19"/>
              </w:rPr>
            </w:pPr>
            <w:r w:rsidRPr="00F61AD0">
              <w:rPr>
                <w:sz w:val="19"/>
                <w:szCs w:val="19"/>
              </w:rPr>
              <w:t>70</w:t>
            </w:r>
          </w:p>
        </w:tc>
      </w:tr>
      <w:tr w:rsidR="005E4F6E" w:rsidRPr="00F61AD0" w:rsidTr="005E4F6E">
        <w:tc>
          <w:tcPr>
            <w:tcW w:w="1334" w:type="pct"/>
          </w:tcPr>
          <w:p w:rsidR="005E4F6E" w:rsidRPr="00F61AD0" w:rsidRDefault="005E4F6E" w:rsidP="005E4F6E">
            <w:pPr>
              <w:pStyle w:val="TableText"/>
              <w:rPr>
                <w:sz w:val="19"/>
                <w:szCs w:val="19"/>
              </w:rPr>
            </w:pPr>
            <w:r w:rsidRPr="00F61AD0">
              <w:rPr>
                <w:w w:val="105"/>
                <w:sz w:val="19"/>
                <w:szCs w:val="19"/>
              </w:rPr>
              <w:t>Very Remote</w:t>
            </w:r>
          </w:p>
        </w:tc>
        <w:tc>
          <w:tcPr>
            <w:tcW w:w="524" w:type="pct"/>
          </w:tcPr>
          <w:p w:rsidR="005E4F6E" w:rsidRPr="00F61AD0" w:rsidRDefault="005E4F6E" w:rsidP="005E4F6E">
            <w:pPr>
              <w:pStyle w:val="TableText"/>
              <w:rPr>
                <w:sz w:val="19"/>
                <w:szCs w:val="19"/>
              </w:rPr>
            </w:pPr>
            <w:r w:rsidRPr="00F61AD0">
              <w:rPr>
                <w:w w:val="105"/>
                <w:sz w:val="19"/>
                <w:szCs w:val="19"/>
              </w:rPr>
              <w:t>16</w:t>
            </w:r>
          </w:p>
        </w:tc>
        <w:tc>
          <w:tcPr>
            <w:tcW w:w="524" w:type="pct"/>
          </w:tcPr>
          <w:p w:rsidR="005E4F6E" w:rsidRPr="00F61AD0" w:rsidRDefault="005E4F6E" w:rsidP="005E4F6E">
            <w:pPr>
              <w:pStyle w:val="TableText"/>
              <w:rPr>
                <w:sz w:val="19"/>
                <w:szCs w:val="19"/>
              </w:rPr>
            </w:pPr>
            <w:r w:rsidRPr="00F61AD0">
              <w:rPr>
                <w:w w:val="105"/>
                <w:sz w:val="19"/>
                <w:szCs w:val="19"/>
              </w:rPr>
              <w:t>4.4</w:t>
            </w:r>
          </w:p>
        </w:tc>
        <w:tc>
          <w:tcPr>
            <w:tcW w:w="524" w:type="pct"/>
          </w:tcPr>
          <w:p w:rsidR="005E4F6E" w:rsidRPr="00F61AD0" w:rsidRDefault="005E4F6E" w:rsidP="005E4F6E">
            <w:pPr>
              <w:pStyle w:val="TableText"/>
              <w:rPr>
                <w:sz w:val="19"/>
                <w:szCs w:val="19"/>
              </w:rPr>
            </w:pPr>
            <w:r w:rsidRPr="00F61AD0">
              <w:rPr>
                <w:w w:val="103"/>
                <w:sz w:val="19"/>
                <w:szCs w:val="19"/>
              </w:rPr>
              <w:t>5</w:t>
            </w:r>
          </w:p>
        </w:tc>
        <w:tc>
          <w:tcPr>
            <w:tcW w:w="524" w:type="pct"/>
          </w:tcPr>
          <w:p w:rsidR="005E4F6E" w:rsidRPr="00F61AD0" w:rsidRDefault="005E4F6E" w:rsidP="005E4F6E">
            <w:pPr>
              <w:pStyle w:val="TableText"/>
              <w:rPr>
                <w:sz w:val="19"/>
                <w:szCs w:val="19"/>
              </w:rPr>
            </w:pPr>
            <w:r w:rsidRPr="00F61AD0">
              <w:rPr>
                <w:w w:val="105"/>
                <w:sz w:val="19"/>
                <w:szCs w:val="19"/>
              </w:rPr>
              <w:t>2.2</w:t>
            </w:r>
          </w:p>
        </w:tc>
        <w:tc>
          <w:tcPr>
            <w:tcW w:w="524" w:type="pct"/>
          </w:tcPr>
          <w:p w:rsidR="005E4F6E" w:rsidRPr="00F61AD0" w:rsidRDefault="005E4F6E" w:rsidP="005E4F6E">
            <w:pPr>
              <w:pStyle w:val="TableText"/>
              <w:rPr>
                <w:sz w:val="19"/>
                <w:szCs w:val="19"/>
              </w:rPr>
            </w:pPr>
            <w:r w:rsidRPr="00F61AD0">
              <w:rPr>
                <w:sz w:val="19"/>
                <w:szCs w:val="19"/>
              </w:rPr>
              <w:t>2</w:t>
            </w:r>
          </w:p>
        </w:tc>
        <w:tc>
          <w:tcPr>
            <w:tcW w:w="524" w:type="pct"/>
          </w:tcPr>
          <w:p w:rsidR="005E4F6E" w:rsidRPr="00F61AD0" w:rsidRDefault="005E4F6E" w:rsidP="005E4F6E">
            <w:pPr>
              <w:pStyle w:val="TableText"/>
              <w:rPr>
                <w:sz w:val="19"/>
                <w:szCs w:val="19"/>
              </w:rPr>
            </w:pPr>
            <w:r w:rsidRPr="00F61AD0">
              <w:rPr>
                <w:sz w:val="19"/>
                <w:szCs w:val="19"/>
              </w:rPr>
              <w:t>16.7</w:t>
            </w:r>
          </w:p>
        </w:tc>
        <w:tc>
          <w:tcPr>
            <w:tcW w:w="522" w:type="pct"/>
          </w:tcPr>
          <w:p w:rsidR="005E4F6E" w:rsidRPr="00F61AD0" w:rsidRDefault="005E4F6E" w:rsidP="005E4F6E">
            <w:pPr>
              <w:pStyle w:val="TableText"/>
              <w:rPr>
                <w:sz w:val="19"/>
                <w:szCs w:val="19"/>
              </w:rPr>
            </w:pPr>
            <w:r w:rsidRPr="00F61AD0">
              <w:rPr>
                <w:sz w:val="19"/>
                <w:szCs w:val="19"/>
              </w:rPr>
              <w:t>23</w:t>
            </w:r>
          </w:p>
        </w:tc>
      </w:tr>
      <w:tr w:rsidR="005E4F6E" w:rsidRPr="00F61AD0" w:rsidTr="005E4F6E">
        <w:tc>
          <w:tcPr>
            <w:tcW w:w="1334" w:type="pct"/>
          </w:tcPr>
          <w:p w:rsidR="005E4F6E" w:rsidRPr="00F61AD0" w:rsidRDefault="005E4F6E" w:rsidP="005E4F6E">
            <w:pPr>
              <w:pStyle w:val="TableText"/>
              <w:rPr>
                <w:sz w:val="19"/>
                <w:szCs w:val="19"/>
              </w:rPr>
            </w:pPr>
            <w:r w:rsidRPr="00F61AD0">
              <w:rPr>
                <w:w w:val="105"/>
                <w:sz w:val="19"/>
                <w:szCs w:val="19"/>
              </w:rPr>
              <w:t>Unspecified</w:t>
            </w:r>
            <w:r w:rsidRPr="00F61AD0">
              <w:rPr>
                <w:rStyle w:val="FootnoteReference"/>
                <w:w w:val="105"/>
                <w:sz w:val="19"/>
                <w:szCs w:val="19"/>
              </w:rPr>
              <w:footnoteReference w:id="4"/>
            </w:r>
          </w:p>
        </w:tc>
        <w:tc>
          <w:tcPr>
            <w:tcW w:w="524" w:type="pct"/>
          </w:tcPr>
          <w:p w:rsidR="005E4F6E" w:rsidRPr="00F61AD0" w:rsidRDefault="005E4F6E" w:rsidP="005E4F6E">
            <w:pPr>
              <w:pStyle w:val="TableText"/>
              <w:rPr>
                <w:sz w:val="19"/>
                <w:szCs w:val="19"/>
              </w:rPr>
            </w:pPr>
            <w:r w:rsidRPr="00F61AD0">
              <w:rPr>
                <w:w w:val="103"/>
                <w:sz w:val="19"/>
                <w:szCs w:val="19"/>
              </w:rPr>
              <w:t>9</w:t>
            </w:r>
          </w:p>
        </w:tc>
        <w:tc>
          <w:tcPr>
            <w:tcW w:w="524" w:type="pct"/>
          </w:tcPr>
          <w:p w:rsidR="005E4F6E" w:rsidRPr="00F61AD0" w:rsidRDefault="005E4F6E" w:rsidP="005E4F6E">
            <w:pPr>
              <w:pStyle w:val="TableText"/>
              <w:rPr>
                <w:sz w:val="19"/>
                <w:szCs w:val="19"/>
              </w:rPr>
            </w:pPr>
            <w:r w:rsidRPr="00F61AD0">
              <w:rPr>
                <w:w w:val="105"/>
                <w:sz w:val="19"/>
                <w:szCs w:val="19"/>
              </w:rPr>
              <w:t>2.5</w:t>
            </w:r>
          </w:p>
        </w:tc>
        <w:tc>
          <w:tcPr>
            <w:tcW w:w="524" w:type="pct"/>
          </w:tcPr>
          <w:p w:rsidR="005E4F6E" w:rsidRPr="00F61AD0" w:rsidRDefault="005E4F6E" w:rsidP="005E4F6E">
            <w:pPr>
              <w:pStyle w:val="TableText"/>
              <w:rPr>
                <w:sz w:val="19"/>
                <w:szCs w:val="19"/>
              </w:rPr>
            </w:pPr>
            <w:r w:rsidRPr="00F61AD0">
              <w:rPr>
                <w:w w:val="103"/>
                <w:sz w:val="19"/>
                <w:szCs w:val="19"/>
              </w:rPr>
              <w:t>1</w:t>
            </w:r>
          </w:p>
        </w:tc>
        <w:tc>
          <w:tcPr>
            <w:tcW w:w="524" w:type="pct"/>
          </w:tcPr>
          <w:p w:rsidR="005E4F6E" w:rsidRPr="00F61AD0" w:rsidRDefault="005E4F6E" w:rsidP="005E4F6E">
            <w:pPr>
              <w:pStyle w:val="TableText"/>
              <w:rPr>
                <w:sz w:val="19"/>
                <w:szCs w:val="19"/>
              </w:rPr>
            </w:pPr>
            <w:r w:rsidRPr="00F61AD0">
              <w:rPr>
                <w:w w:val="105"/>
                <w:sz w:val="19"/>
                <w:szCs w:val="19"/>
              </w:rPr>
              <w:t>0.4</w:t>
            </w:r>
          </w:p>
        </w:tc>
        <w:tc>
          <w:tcPr>
            <w:tcW w:w="524" w:type="pct"/>
          </w:tcPr>
          <w:p w:rsidR="005E4F6E" w:rsidRPr="00F61AD0" w:rsidRDefault="005E4F6E" w:rsidP="005E4F6E">
            <w:pPr>
              <w:pStyle w:val="TableText"/>
              <w:rPr>
                <w:sz w:val="19"/>
                <w:szCs w:val="19"/>
              </w:rPr>
            </w:pPr>
            <w:r w:rsidRPr="00F61AD0">
              <w:rPr>
                <w:sz w:val="19"/>
                <w:szCs w:val="19"/>
              </w:rPr>
              <w:t>0</w:t>
            </w:r>
          </w:p>
        </w:tc>
        <w:tc>
          <w:tcPr>
            <w:tcW w:w="524" w:type="pct"/>
          </w:tcPr>
          <w:p w:rsidR="005E4F6E" w:rsidRPr="00F61AD0" w:rsidRDefault="005E4F6E" w:rsidP="005E4F6E">
            <w:pPr>
              <w:pStyle w:val="TableText"/>
              <w:rPr>
                <w:sz w:val="19"/>
                <w:szCs w:val="19"/>
              </w:rPr>
            </w:pPr>
            <w:r w:rsidRPr="00F61AD0">
              <w:rPr>
                <w:sz w:val="19"/>
                <w:szCs w:val="19"/>
              </w:rPr>
              <w:t>0.0</w:t>
            </w:r>
          </w:p>
        </w:tc>
        <w:tc>
          <w:tcPr>
            <w:tcW w:w="522" w:type="pct"/>
          </w:tcPr>
          <w:p w:rsidR="005E4F6E" w:rsidRPr="00F61AD0" w:rsidRDefault="005E4F6E" w:rsidP="005E4F6E">
            <w:pPr>
              <w:pStyle w:val="TableText"/>
              <w:rPr>
                <w:sz w:val="19"/>
                <w:szCs w:val="19"/>
              </w:rPr>
            </w:pPr>
            <w:r w:rsidRPr="00F61AD0">
              <w:rPr>
                <w:sz w:val="19"/>
                <w:szCs w:val="19"/>
              </w:rPr>
              <w:t>10</w:t>
            </w:r>
          </w:p>
        </w:tc>
      </w:tr>
    </w:tbl>
    <w:p w:rsidR="00D91A2F" w:rsidRDefault="007B3621" w:rsidP="00D91A2F">
      <w:r w:rsidRPr="007B3621">
        <w:t>Reference has been made in higher education research (Baik et al. 2015) about the overlap that exists for regional students with other equity subgroups. The demographics and background of regional students within this sample confirms this high proportion of overlap, demonstrating the multiple barriers required to be overcome by regional and remote students in order to pursue higher education.</w:t>
      </w:r>
    </w:p>
    <w:p w:rsidR="007C51E8" w:rsidRDefault="007C51E8" w:rsidP="00876C52">
      <w:pPr>
        <w:pStyle w:val="Heading2"/>
      </w:pPr>
      <w:bookmarkStart w:id="24" w:name="_Toc517270330"/>
      <w:r>
        <w:t>2.7 Study Details</w:t>
      </w:r>
      <w:bookmarkEnd w:id="24"/>
    </w:p>
    <w:p w:rsidR="003242FD" w:rsidRDefault="003242FD" w:rsidP="003242FD">
      <w:pPr>
        <w:pStyle w:val="TableTitles"/>
      </w:pPr>
    </w:p>
    <w:p w:rsidR="003242FD" w:rsidRDefault="003242FD" w:rsidP="003242FD">
      <w:pPr>
        <w:pStyle w:val="TableTitles"/>
      </w:pPr>
      <w:bookmarkStart w:id="25" w:name="_Toc517270496"/>
      <w:r>
        <w:t xml:space="preserve">Table </w:t>
      </w:r>
      <w:fldSimple w:instr=" SEQ Table \* ARABIC ">
        <w:r w:rsidR="00766065">
          <w:rPr>
            <w:noProof/>
          </w:rPr>
          <w:t>2</w:t>
        </w:r>
      </w:fldSimple>
      <w:r>
        <w:t xml:space="preserve">: </w:t>
      </w:r>
      <w:r w:rsidRPr="00307DDF">
        <w:t>Proportion of participants based on course and study details</w:t>
      </w:r>
      <w:bookmarkEnd w:id="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1E0" w:firstRow="1" w:lastRow="1" w:firstColumn="1" w:lastColumn="1" w:noHBand="0" w:noVBand="0"/>
        <w:tblCaption w:val="Table 2"/>
        <w:tblDescription w:val="Table displaying the proportion of participants based on course and study details, split into: Course and study details; Under 25 (n and %); 25+ (n and %); Age not provided (n and %); and Row total."/>
      </w:tblPr>
      <w:tblGrid>
        <w:gridCol w:w="2405"/>
        <w:gridCol w:w="945"/>
        <w:gridCol w:w="945"/>
        <w:gridCol w:w="945"/>
        <w:gridCol w:w="945"/>
        <w:gridCol w:w="945"/>
        <w:gridCol w:w="945"/>
        <w:gridCol w:w="941"/>
      </w:tblGrid>
      <w:tr w:rsidR="007C51E8" w:rsidRPr="00F61AD0" w:rsidTr="007C51E8">
        <w:trPr>
          <w:tblHeader/>
        </w:trPr>
        <w:tc>
          <w:tcPr>
            <w:tcW w:w="1334" w:type="pct"/>
            <w:tcBorders>
              <w:bottom w:val="single" w:sz="4" w:space="0" w:color="auto"/>
              <w:right w:val="single" w:sz="4" w:space="0" w:color="auto"/>
            </w:tcBorders>
            <w:shd w:val="clear" w:color="auto" w:fill="5B9BD5" w:themeFill="accent1"/>
          </w:tcPr>
          <w:p w:rsidR="007C51E8" w:rsidRPr="00F61AD0" w:rsidRDefault="007C51E8" w:rsidP="007C51E8">
            <w:pPr>
              <w:pStyle w:val="TableText"/>
              <w:rPr>
                <w:b/>
                <w:color w:val="FFFFFF" w:themeColor="background1"/>
                <w:sz w:val="19"/>
                <w:szCs w:val="19"/>
              </w:rPr>
            </w:pPr>
            <w:r w:rsidRPr="00F61AD0">
              <w:rPr>
                <w:b/>
                <w:color w:val="FFFFFF" w:themeColor="background1"/>
                <w:sz w:val="19"/>
                <w:szCs w:val="19"/>
              </w:rPr>
              <w:t>Course and study details</w:t>
            </w:r>
          </w:p>
        </w:tc>
        <w:tc>
          <w:tcPr>
            <w:tcW w:w="524" w:type="pct"/>
            <w:tcBorders>
              <w:top w:val="single" w:sz="4" w:space="0" w:color="auto"/>
              <w:left w:val="single" w:sz="4" w:space="0" w:color="auto"/>
              <w:bottom w:val="single" w:sz="4" w:space="0" w:color="auto"/>
              <w:right w:val="nil"/>
            </w:tcBorders>
            <w:shd w:val="clear" w:color="auto" w:fill="5B9BD5" w:themeFill="accent1"/>
          </w:tcPr>
          <w:p w:rsidR="007C51E8" w:rsidRPr="00F61AD0" w:rsidRDefault="007C51E8" w:rsidP="007C51E8">
            <w:pPr>
              <w:pStyle w:val="TableText"/>
              <w:rPr>
                <w:b/>
                <w:color w:val="FFFFFF" w:themeColor="background1"/>
                <w:sz w:val="19"/>
                <w:szCs w:val="19"/>
              </w:rPr>
            </w:pPr>
            <w:r w:rsidRPr="00F61AD0">
              <w:rPr>
                <w:b/>
                <w:color w:val="FFFFFF" w:themeColor="background1"/>
                <w:sz w:val="19"/>
                <w:szCs w:val="19"/>
              </w:rPr>
              <w:t>Under 25</w:t>
            </w:r>
          </w:p>
        </w:tc>
        <w:tc>
          <w:tcPr>
            <w:tcW w:w="524" w:type="pct"/>
            <w:tcBorders>
              <w:top w:val="single" w:sz="4" w:space="0" w:color="auto"/>
              <w:left w:val="nil"/>
              <w:bottom w:val="single" w:sz="4" w:space="0" w:color="auto"/>
              <w:right w:val="single" w:sz="4" w:space="0" w:color="auto"/>
            </w:tcBorders>
            <w:shd w:val="clear" w:color="auto" w:fill="5B9BD5" w:themeFill="accent1"/>
          </w:tcPr>
          <w:p w:rsidR="007C51E8" w:rsidRPr="00F61AD0" w:rsidRDefault="007C51E8" w:rsidP="007C51E8">
            <w:pPr>
              <w:pStyle w:val="TableText"/>
              <w:rPr>
                <w:b/>
                <w:color w:val="FFFFFF" w:themeColor="background1"/>
                <w:sz w:val="19"/>
                <w:szCs w:val="19"/>
              </w:rPr>
            </w:pPr>
          </w:p>
        </w:tc>
        <w:tc>
          <w:tcPr>
            <w:tcW w:w="524" w:type="pct"/>
            <w:tcBorders>
              <w:top w:val="single" w:sz="4" w:space="0" w:color="auto"/>
              <w:left w:val="single" w:sz="4" w:space="0" w:color="auto"/>
              <w:bottom w:val="single" w:sz="4" w:space="0" w:color="auto"/>
              <w:right w:val="nil"/>
            </w:tcBorders>
            <w:shd w:val="clear" w:color="auto" w:fill="5B9BD5" w:themeFill="accent1"/>
          </w:tcPr>
          <w:p w:rsidR="007C51E8" w:rsidRPr="00F61AD0" w:rsidRDefault="007C51E8" w:rsidP="007C51E8">
            <w:pPr>
              <w:pStyle w:val="TableText"/>
              <w:rPr>
                <w:b/>
                <w:color w:val="FFFFFF" w:themeColor="background1"/>
                <w:sz w:val="19"/>
                <w:szCs w:val="19"/>
              </w:rPr>
            </w:pPr>
            <w:r w:rsidRPr="00F61AD0">
              <w:rPr>
                <w:b/>
                <w:color w:val="FFFFFF" w:themeColor="background1"/>
                <w:sz w:val="19"/>
                <w:szCs w:val="19"/>
              </w:rPr>
              <w:t>25+</w:t>
            </w:r>
          </w:p>
        </w:tc>
        <w:tc>
          <w:tcPr>
            <w:tcW w:w="524" w:type="pct"/>
            <w:tcBorders>
              <w:top w:val="single" w:sz="4" w:space="0" w:color="auto"/>
              <w:left w:val="nil"/>
              <w:bottom w:val="single" w:sz="4" w:space="0" w:color="auto"/>
              <w:right w:val="single" w:sz="4" w:space="0" w:color="auto"/>
            </w:tcBorders>
            <w:shd w:val="clear" w:color="auto" w:fill="5B9BD5" w:themeFill="accent1"/>
          </w:tcPr>
          <w:p w:rsidR="007C51E8" w:rsidRPr="00F61AD0" w:rsidRDefault="007C51E8" w:rsidP="007C51E8">
            <w:pPr>
              <w:pStyle w:val="TableText"/>
              <w:rPr>
                <w:b/>
                <w:color w:val="FFFFFF" w:themeColor="background1"/>
                <w:sz w:val="19"/>
                <w:szCs w:val="19"/>
              </w:rPr>
            </w:pPr>
          </w:p>
        </w:tc>
        <w:tc>
          <w:tcPr>
            <w:tcW w:w="524" w:type="pct"/>
            <w:tcBorders>
              <w:top w:val="single" w:sz="4" w:space="0" w:color="auto"/>
              <w:left w:val="single" w:sz="4" w:space="0" w:color="auto"/>
              <w:bottom w:val="single" w:sz="4" w:space="0" w:color="auto"/>
              <w:right w:val="nil"/>
            </w:tcBorders>
            <w:shd w:val="clear" w:color="auto" w:fill="5B9BD5" w:themeFill="accent1"/>
          </w:tcPr>
          <w:p w:rsidR="007C51E8" w:rsidRPr="00F61AD0" w:rsidRDefault="007C51E8" w:rsidP="007C51E8">
            <w:pPr>
              <w:pStyle w:val="TableText"/>
              <w:rPr>
                <w:b/>
                <w:color w:val="FFFFFF" w:themeColor="background1"/>
                <w:sz w:val="19"/>
                <w:szCs w:val="19"/>
              </w:rPr>
            </w:pPr>
            <w:r w:rsidRPr="00F61AD0">
              <w:rPr>
                <w:b/>
                <w:color w:val="FFFFFF" w:themeColor="background1"/>
                <w:sz w:val="19"/>
                <w:szCs w:val="19"/>
              </w:rPr>
              <w:t>Age not provided</w:t>
            </w:r>
          </w:p>
        </w:tc>
        <w:tc>
          <w:tcPr>
            <w:tcW w:w="524" w:type="pct"/>
            <w:tcBorders>
              <w:top w:val="single" w:sz="4" w:space="0" w:color="auto"/>
              <w:left w:val="nil"/>
              <w:bottom w:val="single" w:sz="4" w:space="0" w:color="auto"/>
              <w:right w:val="single" w:sz="4" w:space="0" w:color="auto"/>
            </w:tcBorders>
            <w:shd w:val="clear" w:color="auto" w:fill="5B9BD5" w:themeFill="accent1"/>
          </w:tcPr>
          <w:p w:rsidR="007C51E8" w:rsidRPr="00F61AD0" w:rsidRDefault="007C51E8" w:rsidP="007C51E8">
            <w:pPr>
              <w:pStyle w:val="TableText"/>
              <w:rPr>
                <w:b/>
                <w:color w:val="FFFFFF" w:themeColor="background1"/>
                <w:sz w:val="19"/>
                <w:szCs w:val="19"/>
              </w:rPr>
            </w:pPr>
          </w:p>
        </w:tc>
        <w:tc>
          <w:tcPr>
            <w:tcW w:w="522" w:type="pct"/>
            <w:tcBorders>
              <w:left w:val="single" w:sz="4" w:space="0" w:color="auto"/>
              <w:bottom w:val="single" w:sz="4" w:space="0" w:color="auto"/>
            </w:tcBorders>
            <w:shd w:val="clear" w:color="auto" w:fill="5B9BD5" w:themeFill="accent1"/>
          </w:tcPr>
          <w:p w:rsidR="007C51E8" w:rsidRPr="00F61AD0" w:rsidRDefault="007C51E8" w:rsidP="007C51E8">
            <w:pPr>
              <w:pStyle w:val="TableText"/>
              <w:rPr>
                <w:b/>
                <w:color w:val="FFFFFF" w:themeColor="background1"/>
                <w:sz w:val="19"/>
                <w:szCs w:val="19"/>
              </w:rPr>
            </w:pPr>
            <w:r w:rsidRPr="00F61AD0">
              <w:rPr>
                <w:b/>
                <w:color w:val="FFFFFF" w:themeColor="background1"/>
                <w:sz w:val="19"/>
                <w:szCs w:val="19"/>
              </w:rPr>
              <w:t>Row Total</w:t>
            </w:r>
          </w:p>
        </w:tc>
      </w:tr>
      <w:tr w:rsidR="007C51E8" w:rsidRPr="00F61AD0" w:rsidTr="00595829">
        <w:trPr>
          <w:tblHeader/>
        </w:trPr>
        <w:tc>
          <w:tcPr>
            <w:tcW w:w="1334" w:type="pct"/>
            <w:tcBorders>
              <w:top w:val="single" w:sz="4" w:space="0" w:color="auto"/>
              <w:left w:val="nil"/>
              <w:bottom w:val="single" w:sz="4" w:space="0" w:color="auto"/>
              <w:right w:val="single" w:sz="4" w:space="0" w:color="auto"/>
            </w:tcBorders>
          </w:tcPr>
          <w:p w:rsidR="007C51E8" w:rsidRPr="00F61AD0" w:rsidRDefault="007C51E8" w:rsidP="007C51E8">
            <w:pPr>
              <w:pStyle w:val="TableText"/>
              <w:rPr>
                <w:rFonts w:ascii="Times New Roman"/>
                <w:sz w:val="19"/>
                <w:szCs w:val="19"/>
              </w:rPr>
            </w:pPr>
          </w:p>
        </w:tc>
        <w:tc>
          <w:tcPr>
            <w:tcW w:w="524"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7C51E8" w:rsidRPr="00F61AD0" w:rsidRDefault="007C51E8" w:rsidP="007C51E8">
            <w:pPr>
              <w:pStyle w:val="TableText"/>
              <w:rPr>
                <w:b/>
                <w:sz w:val="19"/>
                <w:szCs w:val="19"/>
              </w:rPr>
            </w:pPr>
            <w:r w:rsidRPr="00F61AD0">
              <w:rPr>
                <w:b/>
                <w:w w:val="103"/>
                <w:sz w:val="19"/>
                <w:szCs w:val="19"/>
              </w:rPr>
              <w:t>n</w:t>
            </w:r>
          </w:p>
        </w:tc>
        <w:tc>
          <w:tcPr>
            <w:tcW w:w="524"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7C51E8" w:rsidRPr="00F61AD0" w:rsidRDefault="007C51E8" w:rsidP="007C51E8">
            <w:pPr>
              <w:pStyle w:val="TableText"/>
              <w:rPr>
                <w:b/>
                <w:sz w:val="19"/>
                <w:szCs w:val="19"/>
              </w:rPr>
            </w:pPr>
            <w:r w:rsidRPr="00F61AD0">
              <w:rPr>
                <w:b/>
                <w:w w:val="103"/>
                <w:sz w:val="19"/>
                <w:szCs w:val="19"/>
              </w:rPr>
              <w:t>%</w:t>
            </w:r>
          </w:p>
        </w:tc>
        <w:tc>
          <w:tcPr>
            <w:tcW w:w="524"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7C51E8" w:rsidRPr="00F61AD0" w:rsidRDefault="007C51E8" w:rsidP="007C51E8">
            <w:pPr>
              <w:pStyle w:val="TableText"/>
              <w:rPr>
                <w:b/>
                <w:sz w:val="19"/>
                <w:szCs w:val="19"/>
              </w:rPr>
            </w:pPr>
            <w:r w:rsidRPr="00F61AD0">
              <w:rPr>
                <w:b/>
                <w:w w:val="103"/>
                <w:sz w:val="19"/>
                <w:szCs w:val="19"/>
              </w:rPr>
              <w:t>n</w:t>
            </w:r>
          </w:p>
        </w:tc>
        <w:tc>
          <w:tcPr>
            <w:tcW w:w="524"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7C51E8" w:rsidRPr="00F61AD0" w:rsidRDefault="007C51E8" w:rsidP="007C51E8">
            <w:pPr>
              <w:pStyle w:val="TableText"/>
              <w:rPr>
                <w:b/>
                <w:sz w:val="19"/>
                <w:szCs w:val="19"/>
              </w:rPr>
            </w:pPr>
            <w:r w:rsidRPr="00F61AD0">
              <w:rPr>
                <w:b/>
                <w:w w:val="103"/>
                <w:sz w:val="19"/>
                <w:szCs w:val="19"/>
              </w:rPr>
              <w:t>%</w:t>
            </w:r>
          </w:p>
        </w:tc>
        <w:tc>
          <w:tcPr>
            <w:tcW w:w="524"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7C51E8" w:rsidRPr="00F61AD0" w:rsidRDefault="007C51E8" w:rsidP="007C51E8">
            <w:pPr>
              <w:pStyle w:val="TableText"/>
              <w:rPr>
                <w:b/>
                <w:sz w:val="19"/>
                <w:szCs w:val="19"/>
              </w:rPr>
            </w:pPr>
            <w:r w:rsidRPr="00F61AD0">
              <w:rPr>
                <w:b/>
                <w:w w:val="103"/>
                <w:sz w:val="19"/>
                <w:szCs w:val="19"/>
              </w:rPr>
              <w:t>n</w:t>
            </w:r>
          </w:p>
        </w:tc>
        <w:tc>
          <w:tcPr>
            <w:tcW w:w="524"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7C51E8" w:rsidRPr="00F61AD0" w:rsidRDefault="007C51E8" w:rsidP="007C51E8">
            <w:pPr>
              <w:pStyle w:val="TableText"/>
              <w:rPr>
                <w:b/>
                <w:sz w:val="19"/>
                <w:szCs w:val="19"/>
              </w:rPr>
            </w:pPr>
            <w:r w:rsidRPr="00F61AD0">
              <w:rPr>
                <w:b/>
                <w:w w:val="103"/>
                <w:sz w:val="19"/>
                <w:szCs w:val="19"/>
              </w:rPr>
              <w:t>%</w:t>
            </w:r>
          </w:p>
        </w:tc>
        <w:tc>
          <w:tcPr>
            <w:tcW w:w="522" w:type="pct"/>
            <w:tcBorders>
              <w:top w:val="single" w:sz="4" w:space="0" w:color="auto"/>
              <w:left w:val="single" w:sz="4" w:space="0" w:color="auto"/>
              <w:bottom w:val="single" w:sz="4" w:space="0" w:color="auto"/>
              <w:right w:val="nil"/>
            </w:tcBorders>
            <w:shd w:val="clear" w:color="auto" w:fill="auto"/>
          </w:tcPr>
          <w:p w:rsidR="007C51E8" w:rsidRPr="00F61AD0" w:rsidRDefault="007C51E8" w:rsidP="007C51E8">
            <w:pPr>
              <w:pStyle w:val="TableText"/>
              <w:rPr>
                <w:b/>
                <w:sz w:val="19"/>
                <w:szCs w:val="19"/>
              </w:rPr>
            </w:pPr>
          </w:p>
        </w:tc>
      </w:tr>
      <w:tr w:rsidR="007C51E8" w:rsidRPr="00F61AD0" w:rsidTr="007C51E8">
        <w:tc>
          <w:tcPr>
            <w:tcW w:w="1334" w:type="pct"/>
            <w:tcBorders>
              <w:top w:val="single" w:sz="4" w:space="0" w:color="auto"/>
              <w:left w:val="single" w:sz="4" w:space="0" w:color="auto"/>
              <w:bottom w:val="single" w:sz="4" w:space="0" w:color="auto"/>
              <w:right w:val="nil"/>
            </w:tcBorders>
            <w:shd w:val="clear" w:color="auto" w:fill="F2F2F2" w:themeFill="background1" w:themeFillShade="F2"/>
          </w:tcPr>
          <w:p w:rsidR="007C51E8" w:rsidRPr="00F61AD0" w:rsidRDefault="007C51E8" w:rsidP="007C51E8">
            <w:pPr>
              <w:pStyle w:val="TableText"/>
              <w:rPr>
                <w:b/>
                <w:sz w:val="19"/>
                <w:szCs w:val="19"/>
              </w:rPr>
            </w:pPr>
            <w:r w:rsidRPr="00F61AD0">
              <w:rPr>
                <w:b/>
                <w:w w:val="105"/>
                <w:sz w:val="19"/>
                <w:szCs w:val="19"/>
              </w:rPr>
              <w:t>Study load</w:t>
            </w:r>
          </w:p>
        </w:tc>
        <w:tc>
          <w:tcPr>
            <w:tcW w:w="524" w:type="pct"/>
            <w:tcBorders>
              <w:top w:val="single" w:sz="4" w:space="0" w:color="auto"/>
              <w:left w:val="nil"/>
              <w:bottom w:val="single" w:sz="4" w:space="0" w:color="auto"/>
              <w:right w:val="nil"/>
            </w:tcBorders>
            <w:shd w:val="clear" w:color="auto" w:fill="F2F2F2" w:themeFill="background1" w:themeFillShade="F2"/>
          </w:tcPr>
          <w:p w:rsidR="007C51E8" w:rsidRPr="00F61AD0" w:rsidRDefault="007C51E8" w:rsidP="007C51E8">
            <w:pPr>
              <w:pStyle w:val="TableText"/>
              <w:rPr>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7C51E8" w:rsidRPr="00F61AD0" w:rsidRDefault="007C51E8" w:rsidP="007C51E8">
            <w:pPr>
              <w:pStyle w:val="TableText"/>
              <w:rPr>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7C51E8" w:rsidRPr="00F61AD0" w:rsidRDefault="007C51E8" w:rsidP="007C51E8">
            <w:pPr>
              <w:pStyle w:val="TableText"/>
              <w:rPr>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7C51E8" w:rsidRPr="00F61AD0" w:rsidRDefault="007C51E8" w:rsidP="007C51E8">
            <w:pPr>
              <w:pStyle w:val="TableText"/>
              <w:rPr>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7C51E8" w:rsidRPr="00F61AD0" w:rsidRDefault="007C51E8" w:rsidP="007C51E8">
            <w:pPr>
              <w:pStyle w:val="TableText"/>
              <w:rPr>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7C51E8" w:rsidRPr="00F61AD0" w:rsidRDefault="007C51E8" w:rsidP="007C51E8">
            <w:pPr>
              <w:pStyle w:val="TableText"/>
              <w:rPr>
                <w:sz w:val="19"/>
                <w:szCs w:val="19"/>
              </w:rPr>
            </w:pPr>
          </w:p>
        </w:tc>
        <w:tc>
          <w:tcPr>
            <w:tcW w:w="522" w:type="pct"/>
            <w:tcBorders>
              <w:top w:val="single" w:sz="4" w:space="0" w:color="auto"/>
              <w:left w:val="nil"/>
              <w:bottom w:val="single" w:sz="4" w:space="0" w:color="auto"/>
              <w:right w:val="single" w:sz="4" w:space="0" w:color="auto"/>
            </w:tcBorders>
            <w:shd w:val="clear" w:color="auto" w:fill="F2F2F2" w:themeFill="background1" w:themeFillShade="F2"/>
          </w:tcPr>
          <w:p w:rsidR="007C51E8" w:rsidRPr="00F61AD0" w:rsidRDefault="007C51E8" w:rsidP="007C51E8">
            <w:pPr>
              <w:pStyle w:val="TableText"/>
              <w:rPr>
                <w:sz w:val="19"/>
                <w:szCs w:val="19"/>
              </w:rPr>
            </w:pPr>
          </w:p>
        </w:tc>
      </w:tr>
      <w:tr w:rsidR="007C51E8" w:rsidRPr="00F61AD0" w:rsidTr="007C51E8">
        <w:tc>
          <w:tcPr>
            <w:tcW w:w="1334" w:type="pct"/>
            <w:tcBorders>
              <w:top w:val="single" w:sz="4" w:space="0" w:color="auto"/>
              <w:bottom w:val="single" w:sz="4" w:space="0" w:color="auto"/>
            </w:tcBorders>
          </w:tcPr>
          <w:p w:rsidR="007C51E8" w:rsidRPr="00F61AD0" w:rsidRDefault="007C51E8" w:rsidP="007C51E8">
            <w:pPr>
              <w:pStyle w:val="TableText"/>
              <w:rPr>
                <w:w w:val="105"/>
                <w:sz w:val="19"/>
                <w:szCs w:val="19"/>
              </w:rPr>
            </w:pPr>
            <w:r w:rsidRPr="00F61AD0">
              <w:rPr>
                <w:w w:val="105"/>
                <w:sz w:val="19"/>
                <w:szCs w:val="19"/>
              </w:rPr>
              <w:t>Full time</w:t>
            </w:r>
          </w:p>
        </w:tc>
        <w:tc>
          <w:tcPr>
            <w:tcW w:w="524" w:type="pct"/>
            <w:tcBorders>
              <w:top w:val="single" w:sz="4" w:space="0" w:color="auto"/>
              <w:bottom w:val="single" w:sz="4" w:space="0" w:color="auto"/>
            </w:tcBorders>
          </w:tcPr>
          <w:p w:rsidR="007C51E8" w:rsidRPr="00F61AD0" w:rsidRDefault="007C51E8" w:rsidP="007C51E8">
            <w:pPr>
              <w:pStyle w:val="TableText"/>
              <w:rPr>
                <w:sz w:val="19"/>
                <w:szCs w:val="19"/>
              </w:rPr>
            </w:pPr>
            <w:r w:rsidRPr="00F61AD0">
              <w:rPr>
                <w:w w:val="105"/>
                <w:sz w:val="19"/>
                <w:szCs w:val="19"/>
              </w:rPr>
              <w:t>330</w:t>
            </w:r>
          </w:p>
        </w:tc>
        <w:tc>
          <w:tcPr>
            <w:tcW w:w="524" w:type="pct"/>
            <w:tcBorders>
              <w:top w:val="single" w:sz="4" w:space="0" w:color="auto"/>
              <w:bottom w:val="single" w:sz="4" w:space="0" w:color="auto"/>
            </w:tcBorders>
          </w:tcPr>
          <w:p w:rsidR="007C51E8" w:rsidRPr="00F61AD0" w:rsidRDefault="007C51E8" w:rsidP="007C51E8">
            <w:pPr>
              <w:pStyle w:val="TableText"/>
              <w:rPr>
                <w:sz w:val="19"/>
                <w:szCs w:val="19"/>
              </w:rPr>
            </w:pPr>
            <w:r w:rsidRPr="00F61AD0">
              <w:rPr>
                <w:w w:val="105"/>
                <w:sz w:val="19"/>
                <w:szCs w:val="19"/>
              </w:rPr>
              <w:t>90.7</w:t>
            </w:r>
          </w:p>
        </w:tc>
        <w:tc>
          <w:tcPr>
            <w:tcW w:w="524" w:type="pct"/>
            <w:tcBorders>
              <w:top w:val="single" w:sz="4" w:space="0" w:color="auto"/>
              <w:bottom w:val="single" w:sz="4" w:space="0" w:color="auto"/>
            </w:tcBorders>
          </w:tcPr>
          <w:p w:rsidR="007C51E8" w:rsidRPr="00F61AD0" w:rsidRDefault="007C51E8" w:rsidP="007C51E8">
            <w:pPr>
              <w:pStyle w:val="TableText"/>
              <w:rPr>
                <w:sz w:val="19"/>
                <w:szCs w:val="19"/>
              </w:rPr>
            </w:pPr>
            <w:r w:rsidRPr="00F61AD0">
              <w:rPr>
                <w:w w:val="105"/>
                <w:sz w:val="19"/>
                <w:szCs w:val="19"/>
              </w:rPr>
              <w:t>118</w:t>
            </w:r>
          </w:p>
        </w:tc>
        <w:tc>
          <w:tcPr>
            <w:tcW w:w="524" w:type="pct"/>
            <w:tcBorders>
              <w:top w:val="single" w:sz="4" w:space="0" w:color="auto"/>
              <w:bottom w:val="single" w:sz="4" w:space="0" w:color="auto"/>
            </w:tcBorders>
          </w:tcPr>
          <w:p w:rsidR="007C51E8" w:rsidRPr="00F61AD0" w:rsidRDefault="007C51E8" w:rsidP="007C51E8">
            <w:pPr>
              <w:pStyle w:val="TableText"/>
              <w:rPr>
                <w:sz w:val="19"/>
                <w:szCs w:val="19"/>
              </w:rPr>
            </w:pPr>
            <w:r w:rsidRPr="00F61AD0">
              <w:rPr>
                <w:w w:val="105"/>
                <w:sz w:val="19"/>
                <w:szCs w:val="19"/>
              </w:rPr>
              <w:t>51.2</w:t>
            </w:r>
          </w:p>
        </w:tc>
        <w:tc>
          <w:tcPr>
            <w:tcW w:w="524" w:type="pct"/>
            <w:tcBorders>
              <w:top w:val="single" w:sz="4" w:space="0" w:color="auto"/>
              <w:bottom w:val="single" w:sz="4" w:space="0" w:color="auto"/>
            </w:tcBorders>
          </w:tcPr>
          <w:p w:rsidR="007C51E8" w:rsidRPr="00F61AD0" w:rsidRDefault="007C51E8" w:rsidP="007C51E8">
            <w:pPr>
              <w:pStyle w:val="TableText"/>
              <w:rPr>
                <w:sz w:val="19"/>
                <w:szCs w:val="19"/>
              </w:rPr>
            </w:pPr>
            <w:r w:rsidRPr="00F61AD0">
              <w:rPr>
                <w:w w:val="103"/>
                <w:sz w:val="19"/>
                <w:szCs w:val="19"/>
              </w:rPr>
              <w:t>4</w:t>
            </w:r>
          </w:p>
        </w:tc>
        <w:tc>
          <w:tcPr>
            <w:tcW w:w="524" w:type="pct"/>
            <w:tcBorders>
              <w:top w:val="single" w:sz="4" w:space="0" w:color="auto"/>
              <w:bottom w:val="single" w:sz="4" w:space="0" w:color="auto"/>
            </w:tcBorders>
          </w:tcPr>
          <w:p w:rsidR="007C51E8" w:rsidRPr="00F61AD0" w:rsidRDefault="007C51E8" w:rsidP="007C51E8">
            <w:pPr>
              <w:pStyle w:val="TableText"/>
              <w:rPr>
                <w:sz w:val="19"/>
                <w:szCs w:val="19"/>
              </w:rPr>
            </w:pPr>
            <w:r w:rsidRPr="00F61AD0">
              <w:rPr>
                <w:w w:val="105"/>
                <w:sz w:val="19"/>
                <w:szCs w:val="19"/>
              </w:rPr>
              <w:t>33.3</w:t>
            </w:r>
          </w:p>
        </w:tc>
        <w:tc>
          <w:tcPr>
            <w:tcW w:w="522" w:type="pct"/>
            <w:tcBorders>
              <w:top w:val="single" w:sz="4" w:space="0" w:color="auto"/>
              <w:bottom w:val="single" w:sz="4" w:space="0" w:color="auto"/>
            </w:tcBorders>
          </w:tcPr>
          <w:p w:rsidR="007C51E8" w:rsidRPr="00F61AD0" w:rsidRDefault="007C51E8" w:rsidP="007C51E8">
            <w:pPr>
              <w:pStyle w:val="TableText"/>
              <w:rPr>
                <w:sz w:val="19"/>
                <w:szCs w:val="19"/>
              </w:rPr>
            </w:pPr>
            <w:r w:rsidRPr="00F61AD0">
              <w:rPr>
                <w:w w:val="105"/>
                <w:sz w:val="19"/>
                <w:szCs w:val="19"/>
              </w:rPr>
              <w:t>452</w:t>
            </w:r>
          </w:p>
        </w:tc>
      </w:tr>
      <w:tr w:rsidR="007C51E8" w:rsidRPr="00F61AD0" w:rsidTr="007C51E8">
        <w:tc>
          <w:tcPr>
            <w:tcW w:w="1334" w:type="pct"/>
            <w:tcBorders>
              <w:top w:val="single" w:sz="4" w:space="0" w:color="auto"/>
              <w:bottom w:val="single" w:sz="4" w:space="0" w:color="auto"/>
            </w:tcBorders>
          </w:tcPr>
          <w:p w:rsidR="007C51E8" w:rsidRPr="00F61AD0" w:rsidRDefault="007C51E8" w:rsidP="007C51E8">
            <w:pPr>
              <w:pStyle w:val="TableText"/>
              <w:rPr>
                <w:w w:val="105"/>
                <w:sz w:val="19"/>
                <w:szCs w:val="19"/>
              </w:rPr>
            </w:pPr>
            <w:r w:rsidRPr="00F61AD0">
              <w:rPr>
                <w:w w:val="105"/>
                <w:sz w:val="19"/>
                <w:szCs w:val="19"/>
              </w:rPr>
              <w:t>Part time</w:t>
            </w:r>
          </w:p>
        </w:tc>
        <w:tc>
          <w:tcPr>
            <w:tcW w:w="524" w:type="pct"/>
            <w:tcBorders>
              <w:top w:val="single" w:sz="4" w:space="0" w:color="auto"/>
              <w:bottom w:val="single" w:sz="4" w:space="0" w:color="auto"/>
            </w:tcBorders>
          </w:tcPr>
          <w:p w:rsidR="007C51E8" w:rsidRPr="00F61AD0" w:rsidRDefault="007C51E8" w:rsidP="007C51E8">
            <w:pPr>
              <w:pStyle w:val="TableText"/>
              <w:rPr>
                <w:sz w:val="19"/>
                <w:szCs w:val="19"/>
              </w:rPr>
            </w:pPr>
            <w:r w:rsidRPr="00F61AD0">
              <w:rPr>
                <w:w w:val="105"/>
                <w:sz w:val="19"/>
                <w:szCs w:val="19"/>
              </w:rPr>
              <w:t>24</w:t>
            </w:r>
          </w:p>
        </w:tc>
        <w:tc>
          <w:tcPr>
            <w:tcW w:w="524" w:type="pct"/>
            <w:tcBorders>
              <w:top w:val="single" w:sz="4" w:space="0" w:color="auto"/>
              <w:bottom w:val="single" w:sz="4" w:space="0" w:color="auto"/>
            </w:tcBorders>
          </w:tcPr>
          <w:p w:rsidR="007C51E8" w:rsidRPr="00F61AD0" w:rsidRDefault="007C51E8" w:rsidP="007C51E8">
            <w:pPr>
              <w:pStyle w:val="TableText"/>
              <w:rPr>
                <w:sz w:val="19"/>
                <w:szCs w:val="19"/>
              </w:rPr>
            </w:pPr>
            <w:r w:rsidRPr="00F61AD0">
              <w:rPr>
                <w:w w:val="105"/>
                <w:sz w:val="19"/>
                <w:szCs w:val="19"/>
              </w:rPr>
              <w:t>6.6</w:t>
            </w:r>
          </w:p>
        </w:tc>
        <w:tc>
          <w:tcPr>
            <w:tcW w:w="524" w:type="pct"/>
            <w:tcBorders>
              <w:top w:val="single" w:sz="4" w:space="0" w:color="auto"/>
              <w:bottom w:val="single" w:sz="4" w:space="0" w:color="auto"/>
            </w:tcBorders>
          </w:tcPr>
          <w:p w:rsidR="007C51E8" w:rsidRPr="00F61AD0" w:rsidRDefault="007C51E8" w:rsidP="007C51E8">
            <w:pPr>
              <w:pStyle w:val="TableText"/>
              <w:rPr>
                <w:sz w:val="19"/>
                <w:szCs w:val="19"/>
              </w:rPr>
            </w:pPr>
            <w:r w:rsidRPr="00F61AD0">
              <w:rPr>
                <w:w w:val="105"/>
                <w:sz w:val="19"/>
                <w:szCs w:val="19"/>
              </w:rPr>
              <w:t>102</w:t>
            </w:r>
          </w:p>
        </w:tc>
        <w:tc>
          <w:tcPr>
            <w:tcW w:w="524" w:type="pct"/>
            <w:tcBorders>
              <w:top w:val="single" w:sz="4" w:space="0" w:color="auto"/>
              <w:bottom w:val="single" w:sz="4" w:space="0" w:color="auto"/>
            </w:tcBorders>
          </w:tcPr>
          <w:p w:rsidR="007C51E8" w:rsidRPr="00F61AD0" w:rsidRDefault="007C51E8" w:rsidP="007C51E8">
            <w:pPr>
              <w:pStyle w:val="TableText"/>
              <w:rPr>
                <w:sz w:val="19"/>
                <w:szCs w:val="19"/>
              </w:rPr>
            </w:pPr>
            <w:r w:rsidRPr="00F61AD0">
              <w:rPr>
                <w:w w:val="105"/>
                <w:sz w:val="19"/>
                <w:szCs w:val="19"/>
              </w:rPr>
              <w:t>44.3</w:t>
            </w:r>
          </w:p>
        </w:tc>
        <w:tc>
          <w:tcPr>
            <w:tcW w:w="524" w:type="pct"/>
            <w:tcBorders>
              <w:top w:val="single" w:sz="4" w:space="0" w:color="auto"/>
              <w:bottom w:val="single" w:sz="4" w:space="0" w:color="auto"/>
            </w:tcBorders>
          </w:tcPr>
          <w:p w:rsidR="007C51E8" w:rsidRPr="00F61AD0" w:rsidRDefault="007C51E8" w:rsidP="007C51E8">
            <w:pPr>
              <w:pStyle w:val="TableText"/>
              <w:rPr>
                <w:sz w:val="19"/>
                <w:szCs w:val="19"/>
              </w:rPr>
            </w:pPr>
            <w:r w:rsidRPr="00F61AD0">
              <w:rPr>
                <w:w w:val="103"/>
                <w:sz w:val="19"/>
                <w:szCs w:val="19"/>
              </w:rPr>
              <w:t>8</w:t>
            </w:r>
          </w:p>
        </w:tc>
        <w:tc>
          <w:tcPr>
            <w:tcW w:w="524" w:type="pct"/>
            <w:tcBorders>
              <w:top w:val="single" w:sz="4" w:space="0" w:color="auto"/>
              <w:bottom w:val="single" w:sz="4" w:space="0" w:color="auto"/>
            </w:tcBorders>
          </w:tcPr>
          <w:p w:rsidR="007C51E8" w:rsidRPr="00F61AD0" w:rsidRDefault="007C51E8" w:rsidP="007C51E8">
            <w:pPr>
              <w:pStyle w:val="TableText"/>
              <w:rPr>
                <w:sz w:val="19"/>
                <w:szCs w:val="19"/>
              </w:rPr>
            </w:pPr>
            <w:r w:rsidRPr="00F61AD0">
              <w:rPr>
                <w:w w:val="105"/>
                <w:sz w:val="19"/>
                <w:szCs w:val="19"/>
              </w:rPr>
              <w:t>66.7</w:t>
            </w:r>
          </w:p>
        </w:tc>
        <w:tc>
          <w:tcPr>
            <w:tcW w:w="522" w:type="pct"/>
            <w:tcBorders>
              <w:top w:val="single" w:sz="4" w:space="0" w:color="auto"/>
              <w:bottom w:val="single" w:sz="4" w:space="0" w:color="auto"/>
            </w:tcBorders>
          </w:tcPr>
          <w:p w:rsidR="007C51E8" w:rsidRPr="00F61AD0" w:rsidRDefault="007C51E8" w:rsidP="007C51E8">
            <w:pPr>
              <w:pStyle w:val="TableText"/>
              <w:rPr>
                <w:sz w:val="19"/>
                <w:szCs w:val="19"/>
              </w:rPr>
            </w:pPr>
            <w:r w:rsidRPr="00F61AD0">
              <w:rPr>
                <w:w w:val="105"/>
                <w:sz w:val="19"/>
                <w:szCs w:val="19"/>
              </w:rPr>
              <w:t>134</w:t>
            </w:r>
          </w:p>
        </w:tc>
      </w:tr>
      <w:tr w:rsidR="007C51E8" w:rsidRPr="00F61AD0" w:rsidTr="007C51E8">
        <w:tc>
          <w:tcPr>
            <w:tcW w:w="1334" w:type="pct"/>
            <w:tcBorders>
              <w:top w:val="single" w:sz="4" w:space="0" w:color="auto"/>
              <w:bottom w:val="single" w:sz="4" w:space="0" w:color="auto"/>
            </w:tcBorders>
          </w:tcPr>
          <w:p w:rsidR="007C51E8" w:rsidRPr="00F61AD0" w:rsidRDefault="007C51E8" w:rsidP="007C51E8">
            <w:pPr>
              <w:pStyle w:val="TableText"/>
              <w:rPr>
                <w:w w:val="105"/>
                <w:sz w:val="19"/>
                <w:szCs w:val="19"/>
              </w:rPr>
            </w:pPr>
            <w:r w:rsidRPr="00F61AD0">
              <w:rPr>
                <w:w w:val="105"/>
                <w:sz w:val="19"/>
                <w:szCs w:val="19"/>
              </w:rPr>
              <w:t>Block release</w:t>
            </w:r>
          </w:p>
        </w:tc>
        <w:tc>
          <w:tcPr>
            <w:tcW w:w="524" w:type="pct"/>
            <w:tcBorders>
              <w:top w:val="single" w:sz="4" w:space="0" w:color="auto"/>
              <w:bottom w:val="single" w:sz="4" w:space="0" w:color="auto"/>
            </w:tcBorders>
          </w:tcPr>
          <w:p w:rsidR="007C51E8" w:rsidRPr="00F61AD0" w:rsidRDefault="007C51E8" w:rsidP="007C51E8">
            <w:pPr>
              <w:pStyle w:val="TableText"/>
              <w:rPr>
                <w:sz w:val="19"/>
                <w:szCs w:val="19"/>
              </w:rPr>
            </w:pPr>
            <w:r w:rsidRPr="00F61AD0">
              <w:rPr>
                <w:w w:val="103"/>
                <w:sz w:val="19"/>
                <w:szCs w:val="19"/>
              </w:rPr>
              <w:t>2</w:t>
            </w:r>
          </w:p>
        </w:tc>
        <w:tc>
          <w:tcPr>
            <w:tcW w:w="524" w:type="pct"/>
            <w:tcBorders>
              <w:top w:val="single" w:sz="4" w:space="0" w:color="auto"/>
              <w:bottom w:val="single" w:sz="4" w:space="0" w:color="auto"/>
            </w:tcBorders>
          </w:tcPr>
          <w:p w:rsidR="007C51E8" w:rsidRPr="00F61AD0" w:rsidRDefault="007C51E8" w:rsidP="007C51E8">
            <w:pPr>
              <w:pStyle w:val="TableText"/>
              <w:rPr>
                <w:sz w:val="19"/>
                <w:szCs w:val="19"/>
              </w:rPr>
            </w:pPr>
            <w:r w:rsidRPr="00F61AD0">
              <w:rPr>
                <w:w w:val="105"/>
                <w:sz w:val="19"/>
                <w:szCs w:val="19"/>
              </w:rPr>
              <w:t>0.5</w:t>
            </w:r>
          </w:p>
        </w:tc>
        <w:tc>
          <w:tcPr>
            <w:tcW w:w="524" w:type="pct"/>
            <w:tcBorders>
              <w:top w:val="single" w:sz="4" w:space="0" w:color="auto"/>
              <w:bottom w:val="single" w:sz="4" w:space="0" w:color="auto"/>
            </w:tcBorders>
          </w:tcPr>
          <w:p w:rsidR="007C51E8" w:rsidRPr="00F61AD0" w:rsidRDefault="007C51E8" w:rsidP="007C51E8">
            <w:pPr>
              <w:pStyle w:val="TableText"/>
              <w:rPr>
                <w:sz w:val="19"/>
                <w:szCs w:val="19"/>
              </w:rPr>
            </w:pPr>
            <w:r w:rsidRPr="00F61AD0">
              <w:rPr>
                <w:w w:val="103"/>
                <w:sz w:val="19"/>
                <w:szCs w:val="19"/>
              </w:rPr>
              <w:t>4</w:t>
            </w:r>
          </w:p>
        </w:tc>
        <w:tc>
          <w:tcPr>
            <w:tcW w:w="524" w:type="pct"/>
            <w:tcBorders>
              <w:top w:val="single" w:sz="4" w:space="0" w:color="auto"/>
              <w:bottom w:val="single" w:sz="4" w:space="0" w:color="auto"/>
            </w:tcBorders>
          </w:tcPr>
          <w:p w:rsidR="007C51E8" w:rsidRPr="00F61AD0" w:rsidRDefault="007C51E8" w:rsidP="007C51E8">
            <w:pPr>
              <w:pStyle w:val="TableText"/>
              <w:rPr>
                <w:sz w:val="19"/>
                <w:szCs w:val="19"/>
              </w:rPr>
            </w:pPr>
            <w:r w:rsidRPr="00F61AD0">
              <w:rPr>
                <w:w w:val="105"/>
                <w:sz w:val="19"/>
                <w:szCs w:val="19"/>
              </w:rPr>
              <w:t>1.8</w:t>
            </w:r>
          </w:p>
        </w:tc>
        <w:tc>
          <w:tcPr>
            <w:tcW w:w="524" w:type="pct"/>
            <w:tcBorders>
              <w:top w:val="single" w:sz="4" w:space="0" w:color="auto"/>
              <w:bottom w:val="single" w:sz="4" w:space="0" w:color="auto"/>
            </w:tcBorders>
          </w:tcPr>
          <w:p w:rsidR="007C51E8" w:rsidRPr="00F61AD0" w:rsidRDefault="007C51E8" w:rsidP="007C51E8">
            <w:pPr>
              <w:pStyle w:val="TableText"/>
              <w:rPr>
                <w:sz w:val="19"/>
                <w:szCs w:val="19"/>
              </w:rPr>
            </w:pPr>
            <w:r w:rsidRPr="00F61AD0">
              <w:rPr>
                <w:w w:val="103"/>
                <w:sz w:val="19"/>
                <w:szCs w:val="19"/>
              </w:rPr>
              <w:t>0</w:t>
            </w:r>
          </w:p>
        </w:tc>
        <w:tc>
          <w:tcPr>
            <w:tcW w:w="524" w:type="pct"/>
            <w:tcBorders>
              <w:top w:val="single" w:sz="4" w:space="0" w:color="auto"/>
              <w:bottom w:val="single" w:sz="4" w:space="0" w:color="auto"/>
            </w:tcBorders>
          </w:tcPr>
          <w:p w:rsidR="007C51E8" w:rsidRPr="00F61AD0" w:rsidRDefault="007C51E8" w:rsidP="007C51E8">
            <w:pPr>
              <w:pStyle w:val="TableText"/>
              <w:rPr>
                <w:sz w:val="19"/>
                <w:szCs w:val="19"/>
              </w:rPr>
            </w:pPr>
            <w:r w:rsidRPr="00F61AD0">
              <w:rPr>
                <w:w w:val="105"/>
                <w:sz w:val="19"/>
                <w:szCs w:val="19"/>
              </w:rPr>
              <w:t>0.0</w:t>
            </w:r>
          </w:p>
        </w:tc>
        <w:tc>
          <w:tcPr>
            <w:tcW w:w="522" w:type="pct"/>
            <w:tcBorders>
              <w:top w:val="single" w:sz="4" w:space="0" w:color="auto"/>
              <w:bottom w:val="single" w:sz="4" w:space="0" w:color="auto"/>
            </w:tcBorders>
          </w:tcPr>
          <w:p w:rsidR="007C51E8" w:rsidRPr="00F61AD0" w:rsidRDefault="007C51E8" w:rsidP="007C51E8">
            <w:pPr>
              <w:pStyle w:val="TableText"/>
              <w:rPr>
                <w:sz w:val="19"/>
                <w:szCs w:val="19"/>
              </w:rPr>
            </w:pPr>
            <w:r w:rsidRPr="00F61AD0">
              <w:rPr>
                <w:w w:val="103"/>
                <w:sz w:val="19"/>
                <w:szCs w:val="19"/>
              </w:rPr>
              <w:t>6</w:t>
            </w:r>
          </w:p>
        </w:tc>
      </w:tr>
      <w:tr w:rsidR="007C51E8" w:rsidRPr="00F61AD0" w:rsidTr="007C51E8">
        <w:tc>
          <w:tcPr>
            <w:tcW w:w="1334" w:type="pct"/>
            <w:tcBorders>
              <w:top w:val="single" w:sz="4" w:space="0" w:color="auto"/>
              <w:bottom w:val="single" w:sz="4" w:space="0" w:color="auto"/>
            </w:tcBorders>
          </w:tcPr>
          <w:p w:rsidR="007C51E8" w:rsidRPr="00F61AD0" w:rsidRDefault="007C51E8" w:rsidP="007C51E8">
            <w:pPr>
              <w:pStyle w:val="TableText"/>
              <w:rPr>
                <w:w w:val="105"/>
                <w:sz w:val="19"/>
                <w:szCs w:val="19"/>
              </w:rPr>
            </w:pPr>
            <w:r w:rsidRPr="00F61AD0">
              <w:rPr>
                <w:w w:val="105"/>
                <w:sz w:val="19"/>
                <w:szCs w:val="19"/>
              </w:rPr>
              <w:t>No response</w:t>
            </w:r>
          </w:p>
        </w:tc>
        <w:tc>
          <w:tcPr>
            <w:tcW w:w="524" w:type="pct"/>
            <w:tcBorders>
              <w:top w:val="single" w:sz="4" w:space="0" w:color="auto"/>
              <w:bottom w:val="single" w:sz="4" w:space="0" w:color="auto"/>
            </w:tcBorders>
          </w:tcPr>
          <w:p w:rsidR="007C51E8" w:rsidRPr="00F61AD0" w:rsidRDefault="007C51E8" w:rsidP="007C51E8">
            <w:pPr>
              <w:pStyle w:val="TableText"/>
              <w:rPr>
                <w:sz w:val="19"/>
                <w:szCs w:val="19"/>
              </w:rPr>
            </w:pPr>
            <w:r w:rsidRPr="00F61AD0">
              <w:rPr>
                <w:w w:val="103"/>
                <w:sz w:val="19"/>
                <w:szCs w:val="19"/>
              </w:rPr>
              <w:t>8</w:t>
            </w:r>
          </w:p>
        </w:tc>
        <w:tc>
          <w:tcPr>
            <w:tcW w:w="524" w:type="pct"/>
            <w:tcBorders>
              <w:top w:val="single" w:sz="4" w:space="0" w:color="auto"/>
              <w:bottom w:val="single" w:sz="4" w:space="0" w:color="auto"/>
            </w:tcBorders>
          </w:tcPr>
          <w:p w:rsidR="007C51E8" w:rsidRPr="00F61AD0" w:rsidRDefault="007C51E8" w:rsidP="007C51E8">
            <w:pPr>
              <w:pStyle w:val="TableText"/>
              <w:rPr>
                <w:sz w:val="19"/>
                <w:szCs w:val="19"/>
              </w:rPr>
            </w:pPr>
            <w:r w:rsidRPr="00F61AD0">
              <w:rPr>
                <w:w w:val="105"/>
                <w:sz w:val="19"/>
                <w:szCs w:val="19"/>
              </w:rPr>
              <w:t>2.2</w:t>
            </w:r>
          </w:p>
        </w:tc>
        <w:tc>
          <w:tcPr>
            <w:tcW w:w="524" w:type="pct"/>
            <w:tcBorders>
              <w:top w:val="single" w:sz="4" w:space="0" w:color="auto"/>
              <w:bottom w:val="single" w:sz="4" w:space="0" w:color="auto"/>
            </w:tcBorders>
          </w:tcPr>
          <w:p w:rsidR="007C51E8" w:rsidRPr="00F61AD0" w:rsidRDefault="007C51E8" w:rsidP="007C51E8">
            <w:pPr>
              <w:pStyle w:val="TableText"/>
              <w:rPr>
                <w:sz w:val="19"/>
                <w:szCs w:val="19"/>
              </w:rPr>
            </w:pPr>
            <w:r w:rsidRPr="00F61AD0">
              <w:rPr>
                <w:w w:val="103"/>
                <w:sz w:val="19"/>
                <w:szCs w:val="19"/>
              </w:rPr>
              <w:t>7</w:t>
            </w:r>
          </w:p>
        </w:tc>
        <w:tc>
          <w:tcPr>
            <w:tcW w:w="524" w:type="pct"/>
            <w:tcBorders>
              <w:top w:val="single" w:sz="4" w:space="0" w:color="auto"/>
              <w:bottom w:val="single" w:sz="4" w:space="0" w:color="auto"/>
            </w:tcBorders>
          </w:tcPr>
          <w:p w:rsidR="007C51E8" w:rsidRPr="00F61AD0" w:rsidRDefault="007C51E8" w:rsidP="007C51E8">
            <w:pPr>
              <w:pStyle w:val="TableText"/>
              <w:rPr>
                <w:sz w:val="19"/>
                <w:szCs w:val="19"/>
              </w:rPr>
            </w:pPr>
            <w:r w:rsidRPr="00F61AD0">
              <w:rPr>
                <w:w w:val="105"/>
                <w:sz w:val="19"/>
                <w:szCs w:val="19"/>
              </w:rPr>
              <w:t>3.0</w:t>
            </w:r>
          </w:p>
        </w:tc>
        <w:tc>
          <w:tcPr>
            <w:tcW w:w="524" w:type="pct"/>
            <w:tcBorders>
              <w:top w:val="single" w:sz="4" w:space="0" w:color="auto"/>
              <w:bottom w:val="single" w:sz="4" w:space="0" w:color="auto"/>
            </w:tcBorders>
          </w:tcPr>
          <w:p w:rsidR="007C51E8" w:rsidRPr="00F61AD0" w:rsidRDefault="007C51E8" w:rsidP="007C51E8">
            <w:pPr>
              <w:pStyle w:val="TableText"/>
              <w:rPr>
                <w:sz w:val="19"/>
                <w:szCs w:val="19"/>
              </w:rPr>
            </w:pPr>
            <w:r w:rsidRPr="00F61AD0">
              <w:rPr>
                <w:w w:val="103"/>
                <w:sz w:val="19"/>
                <w:szCs w:val="19"/>
              </w:rPr>
              <w:t>0</w:t>
            </w:r>
          </w:p>
        </w:tc>
        <w:tc>
          <w:tcPr>
            <w:tcW w:w="524" w:type="pct"/>
            <w:tcBorders>
              <w:top w:val="single" w:sz="4" w:space="0" w:color="auto"/>
              <w:bottom w:val="single" w:sz="4" w:space="0" w:color="auto"/>
            </w:tcBorders>
          </w:tcPr>
          <w:p w:rsidR="007C51E8" w:rsidRPr="00F61AD0" w:rsidRDefault="007C51E8" w:rsidP="007C51E8">
            <w:pPr>
              <w:pStyle w:val="TableText"/>
              <w:rPr>
                <w:sz w:val="19"/>
                <w:szCs w:val="19"/>
              </w:rPr>
            </w:pPr>
            <w:r w:rsidRPr="00F61AD0">
              <w:rPr>
                <w:w w:val="105"/>
                <w:sz w:val="19"/>
                <w:szCs w:val="19"/>
              </w:rPr>
              <w:t>0.0</w:t>
            </w:r>
          </w:p>
        </w:tc>
        <w:tc>
          <w:tcPr>
            <w:tcW w:w="522" w:type="pct"/>
            <w:tcBorders>
              <w:top w:val="single" w:sz="4" w:space="0" w:color="auto"/>
              <w:bottom w:val="single" w:sz="4" w:space="0" w:color="auto"/>
            </w:tcBorders>
          </w:tcPr>
          <w:p w:rsidR="007C51E8" w:rsidRPr="00F61AD0" w:rsidRDefault="007C51E8" w:rsidP="007C51E8">
            <w:pPr>
              <w:pStyle w:val="TableText"/>
              <w:rPr>
                <w:sz w:val="19"/>
                <w:szCs w:val="19"/>
              </w:rPr>
            </w:pPr>
            <w:r w:rsidRPr="00F61AD0">
              <w:rPr>
                <w:w w:val="105"/>
                <w:sz w:val="19"/>
                <w:szCs w:val="19"/>
              </w:rPr>
              <w:t>15</w:t>
            </w:r>
          </w:p>
        </w:tc>
      </w:tr>
      <w:tr w:rsidR="007C51E8" w:rsidRPr="00F61AD0" w:rsidTr="007C51E8">
        <w:tc>
          <w:tcPr>
            <w:tcW w:w="1334" w:type="pct"/>
            <w:tcBorders>
              <w:top w:val="single" w:sz="4" w:space="0" w:color="auto"/>
              <w:left w:val="single" w:sz="4" w:space="0" w:color="auto"/>
              <w:bottom w:val="single" w:sz="4" w:space="0" w:color="auto"/>
              <w:right w:val="nil"/>
            </w:tcBorders>
            <w:shd w:val="clear" w:color="auto" w:fill="F2F2F2" w:themeFill="background1" w:themeFillShade="F2"/>
          </w:tcPr>
          <w:p w:rsidR="007C51E8" w:rsidRPr="00F61AD0" w:rsidRDefault="007C51E8" w:rsidP="007C51E8">
            <w:pPr>
              <w:pStyle w:val="TableText"/>
              <w:rPr>
                <w:b/>
                <w:sz w:val="19"/>
                <w:szCs w:val="19"/>
              </w:rPr>
            </w:pPr>
            <w:r w:rsidRPr="00F61AD0">
              <w:rPr>
                <w:b/>
                <w:w w:val="105"/>
                <w:sz w:val="19"/>
                <w:szCs w:val="19"/>
              </w:rPr>
              <w:t>Study mode</w:t>
            </w:r>
          </w:p>
        </w:tc>
        <w:tc>
          <w:tcPr>
            <w:tcW w:w="524" w:type="pct"/>
            <w:tcBorders>
              <w:top w:val="single" w:sz="4" w:space="0" w:color="auto"/>
              <w:left w:val="nil"/>
              <w:bottom w:val="single" w:sz="4" w:space="0" w:color="auto"/>
              <w:right w:val="nil"/>
            </w:tcBorders>
            <w:shd w:val="clear" w:color="auto" w:fill="F2F2F2" w:themeFill="background1" w:themeFillShade="F2"/>
          </w:tcPr>
          <w:p w:rsidR="007C51E8" w:rsidRPr="00F61AD0" w:rsidRDefault="007C51E8" w:rsidP="007C51E8">
            <w:pPr>
              <w:pStyle w:val="TableText"/>
              <w:rPr>
                <w:rFonts w:ascii="Times New Roman"/>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7C51E8" w:rsidRPr="00F61AD0" w:rsidRDefault="007C51E8" w:rsidP="007C51E8">
            <w:pPr>
              <w:pStyle w:val="TableText"/>
              <w:rPr>
                <w:rFonts w:ascii="Times New Roman"/>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7C51E8" w:rsidRPr="00F61AD0" w:rsidRDefault="007C51E8" w:rsidP="007C51E8">
            <w:pPr>
              <w:pStyle w:val="TableText"/>
              <w:rPr>
                <w:rFonts w:ascii="Times New Roman"/>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7C51E8" w:rsidRPr="00F61AD0" w:rsidRDefault="007C51E8" w:rsidP="007C51E8">
            <w:pPr>
              <w:pStyle w:val="TableText"/>
              <w:rPr>
                <w:rFonts w:ascii="Times New Roman"/>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7C51E8" w:rsidRPr="00F61AD0" w:rsidRDefault="007C51E8" w:rsidP="007C51E8">
            <w:pPr>
              <w:pStyle w:val="TableText"/>
              <w:rPr>
                <w:rFonts w:ascii="Times New Roman"/>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7C51E8" w:rsidRPr="00F61AD0" w:rsidRDefault="007C51E8" w:rsidP="007C51E8">
            <w:pPr>
              <w:pStyle w:val="TableText"/>
              <w:rPr>
                <w:rFonts w:ascii="Times New Roman"/>
                <w:sz w:val="19"/>
                <w:szCs w:val="19"/>
              </w:rPr>
            </w:pPr>
          </w:p>
        </w:tc>
        <w:tc>
          <w:tcPr>
            <w:tcW w:w="522" w:type="pct"/>
            <w:tcBorders>
              <w:top w:val="single" w:sz="4" w:space="0" w:color="auto"/>
              <w:left w:val="nil"/>
              <w:bottom w:val="single" w:sz="4" w:space="0" w:color="auto"/>
              <w:right w:val="single" w:sz="4" w:space="0" w:color="auto"/>
            </w:tcBorders>
            <w:shd w:val="clear" w:color="auto" w:fill="F2F2F2" w:themeFill="background1" w:themeFillShade="F2"/>
          </w:tcPr>
          <w:p w:rsidR="007C51E8" w:rsidRPr="00F61AD0" w:rsidRDefault="007C51E8" w:rsidP="007C51E8">
            <w:pPr>
              <w:pStyle w:val="TableText"/>
              <w:rPr>
                <w:rFonts w:ascii="Times New Roman"/>
                <w:sz w:val="19"/>
                <w:szCs w:val="19"/>
              </w:rPr>
            </w:pPr>
          </w:p>
        </w:tc>
      </w:tr>
      <w:tr w:rsidR="007C51E8" w:rsidRPr="00F61AD0" w:rsidTr="007C51E8">
        <w:tc>
          <w:tcPr>
            <w:tcW w:w="1334" w:type="pct"/>
            <w:tcBorders>
              <w:top w:val="single" w:sz="4" w:space="0" w:color="auto"/>
            </w:tcBorders>
          </w:tcPr>
          <w:p w:rsidR="007C51E8" w:rsidRPr="00F61AD0" w:rsidRDefault="007C51E8" w:rsidP="007C51E8">
            <w:pPr>
              <w:pStyle w:val="TableText"/>
              <w:rPr>
                <w:sz w:val="19"/>
                <w:szCs w:val="19"/>
              </w:rPr>
            </w:pPr>
            <w:r w:rsidRPr="00F61AD0">
              <w:rPr>
                <w:w w:val="105"/>
                <w:sz w:val="19"/>
                <w:szCs w:val="19"/>
              </w:rPr>
              <w:t>Primarily on campus</w:t>
            </w:r>
          </w:p>
        </w:tc>
        <w:tc>
          <w:tcPr>
            <w:tcW w:w="524" w:type="pct"/>
            <w:tcBorders>
              <w:top w:val="single" w:sz="4" w:space="0" w:color="auto"/>
            </w:tcBorders>
          </w:tcPr>
          <w:p w:rsidR="007C51E8" w:rsidRPr="00F61AD0" w:rsidRDefault="007C51E8" w:rsidP="007C51E8">
            <w:pPr>
              <w:pStyle w:val="TableText"/>
              <w:rPr>
                <w:sz w:val="19"/>
                <w:szCs w:val="19"/>
              </w:rPr>
            </w:pPr>
            <w:r w:rsidRPr="00F61AD0">
              <w:rPr>
                <w:w w:val="105"/>
                <w:sz w:val="19"/>
                <w:szCs w:val="19"/>
              </w:rPr>
              <w:t>300</w:t>
            </w:r>
          </w:p>
        </w:tc>
        <w:tc>
          <w:tcPr>
            <w:tcW w:w="524" w:type="pct"/>
            <w:tcBorders>
              <w:top w:val="single" w:sz="4" w:space="0" w:color="auto"/>
            </w:tcBorders>
          </w:tcPr>
          <w:p w:rsidR="007C51E8" w:rsidRPr="00F61AD0" w:rsidRDefault="007C51E8" w:rsidP="007C51E8">
            <w:pPr>
              <w:pStyle w:val="TableText"/>
              <w:rPr>
                <w:sz w:val="19"/>
                <w:szCs w:val="19"/>
              </w:rPr>
            </w:pPr>
            <w:r w:rsidRPr="00F61AD0">
              <w:rPr>
                <w:w w:val="105"/>
                <w:sz w:val="19"/>
                <w:szCs w:val="19"/>
              </w:rPr>
              <w:t>82.4</w:t>
            </w:r>
          </w:p>
        </w:tc>
        <w:tc>
          <w:tcPr>
            <w:tcW w:w="524" w:type="pct"/>
            <w:tcBorders>
              <w:top w:val="single" w:sz="4" w:space="0" w:color="auto"/>
            </w:tcBorders>
          </w:tcPr>
          <w:p w:rsidR="007C51E8" w:rsidRPr="00F61AD0" w:rsidRDefault="007C51E8" w:rsidP="007C51E8">
            <w:pPr>
              <w:pStyle w:val="TableText"/>
              <w:rPr>
                <w:sz w:val="19"/>
                <w:szCs w:val="19"/>
              </w:rPr>
            </w:pPr>
            <w:r w:rsidRPr="00F61AD0">
              <w:rPr>
                <w:w w:val="105"/>
                <w:sz w:val="19"/>
                <w:szCs w:val="19"/>
              </w:rPr>
              <w:t>54</w:t>
            </w:r>
          </w:p>
        </w:tc>
        <w:tc>
          <w:tcPr>
            <w:tcW w:w="524" w:type="pct"/>
            <w:tcBorders>
              <w:top w:val="single" w:sz="4" w:space="0" w:color="auto"/>
            </w:tcBorders>
          </w:tcPr>
          <w:p w:rsidR="007C51E8" w:rsidRPr="00F61AD0" w:rsidRDefault="007C51E8" w:rsidP="007C51E8">
            <w:pPr>
              <w:pStyle w:val="TableText"/>
              <w:rPr>
                <w:sz w:val="19"/>
                <w:szCs w:val="19"/>
              </w:rPr>
            </w:pPr>
            <w:r w:rsidRPr="00F61AD0">
              <w:rPr>
                <w:w w:val="105"/>
                <w:sz w:val="19"/>
                <w:szCs w:val="19"/>
              </w:rPr>
              <w:t>23.4</w:t>
            </w:r>
          </w:p>
        </w:tc>
        <w:tc>
          <w:tcPr>
            <w:tcW w:w="524" w:type="pct"/>
            <w:tcBorders>
              <w:top w:val="single" w:sz="4" w:space="0" w:color="auto"/>
            </w:tcBorders>
          </w:tcPr>
          <w:p w:rsidR="007C51E8" w:rsidRPr="00F61AD0" w:rsidRDefault="007C51E8" w:rsidP="007C51E8">
            <w:pPr>
              <w:pStyle w:val="TableText"/>
              <w:rPr>
                <w:sz w:val="19"/>
                <w:szCs w:val="19"/>
              </w:rPr>
            </w:pPr>
            <w:r w:rsidRPr="00F61AD0">
              <w:rPr>
                <w:w w:val="103"/>
                <w:sz w:val="19"/>
                <w:szCs w:val="19"/>
              </w:rPr>
              <w:t>4</w:t>
            </w:r>
          </w:p>
        </w:tc>
        <w:tc>
          <w:tcPr>
            <w:tcW w:w="524" w:type="pct"/>
            <w:tcBorders>
              <w:top w:val="single" w:sz="4" w:space="0" w:color="auto"/>
            </w:tcBorders>
          </w:tcPr>
          <w:p w:rsidR="007C51E8" w:rsidRPr="00F61AD0" w:rsidRDefault="007C51E8" w:rsidP="007C51E8">
            <w:pPr>
              <w:pStyle w:val="TableText"/>
              <w:rPr>
                <w:sz w:val="19"/>
                <w:szCs w:val="19"/>
              </w:rPr>
            </w:pPr>
            <w:r w:rsidRPr="00F61AD0">
              <w:rPr>
                <w:w w:val="105"/>
                <w:sz w:val="19"/>
                <w:szCs w:val="19"/>
              </w:rPr>
              <w:t>33.3</w:t>
            </w:r>
          </w:p>
        </w:tc>
        <w:tc>
          <w:tcPr>
            <w:tcW w:w="522" w:type="pct"/>
            <w:tcBorders>
              <w:top w:val="single" w:sz="4" w:space="0" w:color="auto"/>
            </w:tcBorders>
          </w:tcPr>
          <w:p w:rsidR="007C51E8" w:rsidRPr="00F61AD0" w:rsidRDefault="007C51E8" w:rsidP="007C51E8">
            <w:pPr>
              <w:pStyle w:val="TableText"/>
              <w:rPr>
                <w:sz w:val="19"/>
                <w:szCs w:val="19"/>
              </w:rPr>
            </w:pPr>
            <w:r w:rsidRPr="00F61AD0">
              <w:rPr>
                <w:w w:val="105"/>
                <w:sz w:val="19"/>
                <w:szCs w:val="19"/>
              </w:rPr>
              <w:t>358</w:t>
            </w:r>
          </w:p>
        </w:tc>
      </w:tr>
      <w:tr w:rsidR="007C51E8" w:rsidRPr="00F61AD0" w:rsidTr="007C51E8">
        <w:tc>
          <w:tcPr>
            <w:tcW w:w="1334" w:type="pct"/>
          </w:tcPr>
          <w:p w:rsidR="007C51E8" w:rsidRPr="00F61AD0" w:rsidRDefault="007C51E8" w:rsidP="007C51E8">
            <w:pPr>
              <w:pStyle w:val="TableText"/>
              <w:rPr>
                <w:sz w:val="19"/>
                <w:szCs w:val="19"/>
              </w:rPr>
            </w:pPr>
            <w:r w:rsidRPr="00F61AD0">
              <w:rPr>
                <w:w w:val="105"/>
                <w:sz w:val="19"/>
                <w:szCs w:val="19"/>
              </w:rPr>
              <w:t>Primarily off campus</w:t>
            </w:r>
          </w:p>
        </w:tc>
        <w:tc>
          <w:tcPr>
            <w:tcW w:w="524" w:type="pct"/>
          </w:tcPr>
          <w:p w:rsidR="007C51E8" w:rsidRPr="00F61AD0" w:rsidRDefault="007C51E8" w:rsidP="007C51E8">
            <w:pPr>
              <w:pStyle w:val="TableText"/>
              <w:rPr>
                <w:sz w:val="19"/>
                <w:szCs w:val="19"/>
              </w:rPr>
            </w:pPr>
            <w:r w:rsidRPr="00F61AD0">
              <w:rPr>
                <w:w w:val="105"/>
                <w:sz w:val="19"/>
                <w:szCs w:val="19"/>
              </w:rPr>
              <w:t>24</w:t>
            </w:r>
          </w:p>
        </w:tc>
        <w:tc>
          <w:tcPr>
            <w:tcW w:w="524" w:type="pct"/>
          </w:tcPr>
          <w:p w:rsidR="007C51E8" w:rsidRPr="00F61AD0" w:rsidRDefault="007C51E8" w:rsidP="007C51E8">
            <w:pPr>
              <w:pStyle w:val="TableText"/>
              <w:rPr>
                <w:sz w:val="19"/>
                <w:szCs w:val="19"/>
              </w:rPr>
            </w:pPr>
            <w:r w:rsidRPr="00F61AD0">
              <w:rPr>
                <w:w w:val="105"/>
                <w:sz w:val="19"/>
                <w:szCs w:val="19"/>
              </w:rPr>
              <w:t>6.6</w:t>
            </w:r>
          </w:p>
        </w:tc>
        <w:tc>
          <w:tcPr>
            <w:tcW w:w="524" w:type="pct"/>
          </w:tcPr>
          <w:p w:rsidR="007C51E8" w:rsidRPr="00F61AD0" w:rsidRDefault="007C51E8" w:rsidP="007C51E8">
            <w:pPr>
              <w:pStyle w:val="TableText"/>
              <w:rPr>
                <w:sz w:val="19"/>
                <w:szCs w:val="19"/>
              </w:rPr>
            </w:pPr>
            <w:r w:rsidRPr="00F61AD0">
              <w:rPr>
                <w:w w:val="105"/>
                <w:sz w:val="19"/>
                <w:szCs w:val="19"/>
              </w:rPr>
              <w:t>134</w:t>
            </w:r>
          </w:p>
        </w:tc>
        <w:tc>
          <w:tcPr>
            <w:tcW w:w="524" w:type="pct"/>
          </w:tcPr>
          <w:p w:rsidR="007C51E8" w:rsidRPr="00F61AD0" w:rsidRDefault="007C51E8" w:rsidP="007C51E8">
            <w:pPr>
              <w:pStyle w:val="TableText"/>
              <w:rPr>
                <w:sz w:val="19"/>
                <w:szCs w:val="19"/>
              </w:rPr>
            </w:pPr>
            <w:r w:rsidRPr="00F61AD0">
              <w:rPr>
                <w:w w:val="105"/>
                <w:sz w:val="19"/>
                <w:szCs w:val="19"/>
              </w:rPr>
              <w:t>58.0</w:t>
            </w:r>
          </w:p>
        </w:tc>
        <w:tc>
          <w:tcPr>
            <w:tcW w:w="524" w:type="pct"/>
          </w:tcPr>
          <w:p w:rsidR="007C51E8" w:rsidRPr="00F61AD0" w:rsidRDefault="007C51E8" w:rsidP="007C51E8">
            <w:pPr>
              <w:pStyle w:val="TableText"/>
              <w:rPr>
                <w:sz w:val="19"/>
                <w:szCs w:val="19"/>
              </w:rPr>
            </w:pPr>
            <w:r w:rsidRPr="00F61AD0">
              <w:rPr>
                <w:w w:val="103"/>
                <w:sz w:val="19"/>
                <w:szCs w:val="19"/>
              </w:rPr>
              <w:t>6</w:t>
            </w:r>
          </w:p>
        </w:tc>
        <w:tc>
          <w:tcPr>
            <w:tcW w:w="524" w:type="pct"/>
          </w:tcPr>
          <w:p w:rsidR="007C51E8" w:rsidRPr="00F61AD0" w:rsidRDefault="007C51E8" w:rsidP="007C51E8">
            <w:pPr>
              <w:pStyle w:val="TableText"/>
              <w:rPr>
                <w:sz w:val="19"/>
                <w:szCs w:val="19"/>
              </w:rPr>
            </w:pPr>
            <w:r w:rsidRPr="00F61AD0">
              <w:rPr>
                <w:w w:val="105"/>
                <w:sz w:val="19"/>
                <w:szCs w:val="19"/>
              </w:rPr>
              <w:t>50.0</w:t>
            </w:r>
          </w:p>
        </w:tc>
        <w:tc>
          <w:tcPr>
            <w:tcW w:w="522" w:type="pct"/>
          </w:tcPr>
          <w:p w:rsidR="007C51E8" w:rsidRPr="00F61AD0" w:rsidRDefault="007C51E8" w:rsidP="007C51E8">
            <w:pPr>
              <w:pStyle w:val="TableText"/>
              <w:rPr>
                <w:sz w:val="19"/>
                <w:szCs w:val="19"/>
              </w:rPr>
            </w:pPr>
            <w:r w:rsidRPr="00F61AD0">
              <w:rPr>
                <w:w w:val="105"/>
                <w:sz w:val="19"/>
                <w:szCs w:val="19"/>
              </w:rPr>
              <w:t>164</w:t>
            </w:r>
          </w:p>
        </w:tc>
      </w:tr>
      <w:tr w:rsidR="007C51E8" w:rsidRPr="00F61AD0" w:rsidTr="007C51E8">
        <w:tc>
          <w:tcPr>
            <w:tcW w:w="1334" w:type="pct"/>
            <w:tcBorders>
              <w:bottom w:val="single" w:sz="4" w:space="0" w:color="auto"/>
            </w:tcBorders>
          </w:tcPr>
          <w:p w:rsidR="007C51E8" w:rsidRPr="00F61AD0" w:rsidRDefault="007C51E8" w:rsidP="007C51E8">
            <w:pPr>
              <w:pStyle w:val="TableText"/>
              <w:rPr>
                <w:sz w:val="19"/>
                <w:szCs w:val="19"/>
              </w:rPr>
            </w:pPr>
            <w:r w:rsidRPr="00F61AD0">
              <w:rPr>
                <w:w w:val="105"/>
                <w:sz w:val="19"/>
                <w:szCs w:val="19"/>
              </w:rPr>
              <w:t>Mixed mode</w:t>
            </w:r>
          </w:p>
        </w:tc>
        <w:tc>
          <w:tcPr>
            <w:tcW w:w="524" w:type="pct"/>
            <w:tcBorders>
              <w:bottom w:val="single" w:sz="4" w:space="0" w:color="auto"/>
            </w:tcBorders>
          </w:tcPr>
          <w:p w:rsidR="007C51E8" w:rsidRPr="00F61AD0" w:rsidRDefault="007C51E8" w:rsidP="007C51E8">
            <w:pPr>
              <w:pStyle w:val="TableText"/>
              <w:rPr>
                <w:sz w:val="19"/>
                <w:szCs w:val="19"/>
              </w:rPr>
            </w:pPr>
            <w:r w:rsidRPr="00F61AD0">
              <w:rPr>
                <w:w w:val="105"/>
                <w:sz w:val="19"/>
                <w:szCs w:val="19"/>
              </w:rPr>
              <w:t>30</w:t>
            </w:r>
          </w:p>
        </w:tc>
        <w:tc>
          <w:tcPr>
            <w:tcW w:w="524" w:type="pct"/>
            <w:tcBorders>
              <w:bottom w:val="single" w:sz="4" w:space="0" w:color="auto"/>
            </w:tcBorders>
          </w:tcPr>
          <w:p w:rsidR="007C51E8" w:rsidRPr="00F61AD0" w:rsidRDefault="007C51E8" w:rsidP="007C51E8">
            <w:pPr>
              <w:pStyle w:val="TableText"/>
              <w:rPr>
                <w:sz w:val="19"/>
                <w:szCs w:val="19"/>
              </w:rPr>
            </w:pPr>
            <w:r w:rsidRPr="00F61AD0">
              <w:rPr>
                <w:w w:val="105"/>
                <w:sz w:val="19"/>
                <w:szCs w:val="19"/>
              </w:rPr>
              <w:t>8.2</w:t>
            </w:r>
          </w:p>
        </w:tc>
        <w:tc>
          <w:tcPr>
            <w:tcW w:w="524" w:type="pct"/>
            <w:tcBorders>
              <w:bottom w:val="single" w:sz="4" w:space="0" w:color="auto"/>
            </w:tcBorders>
          </w:tcPr>
          <w:p w:rsidR="007C51E8" w:rsidRPr="00F61AD0" w:rsidRDefault="007C51E8" w:rsidP="007C51E8">
            <w:pPr>
              <w:pStyle w:val="TableText"/>
              <w:rPr>
                <w:sz w:val="19"/>
                <w:szCs w:val="19"/>
              </w:rPr>
            </w:pPr>
            <w:r w:rsidRPr="00F61AD0">
              <w:rPr>
                <w:w w:val="105"/>
                <w:sz w:val="19"/>
                <w:szCs w:val="19"/>
              </w:rPr>
              <w:t>38</w:t>
            </w:r>
          </w:p>
        </w:tc>
        <w:tc>
          <w:tcPr>
            <w:tcW w:w="524" w:type="pct"/>
            <w:tcBorders>
              <w:bottom w:val="single" w:sz="4" w:space="0" w:color="auto"/>
            </w:tcBorders>
          </w:tcPr>
          <w:p w:rsidR="007C51E8" w:rsidRPr="00F61AD0" w:rsidRDefault="007C51E8" w:rsidP="007C51E8">
            <w:pPr>
              <w:pStyle w:val="TableText"/>
              <w:rPr>
                <w:sz w:val="19"/>
                <w:szCs w:val="19"/>
              </w:rPr>
            </w:pPr>
            <w:r w:rsidRPr="00F61AD0">
              <w:rPr>
                <w:w w:val="105"/>
                <w:sz w:val="19"/>
                <w:szCs w:val="19"/>
              </w:rPr>
              <w:t>16.5</w:t>
            </w:r>
          </w:p>
        </w:tc>
        <w:tc>
          <w:tcPr>
            <w:tcW w:w="524" w:type="pct"/>
            <w:tcBorders>
              <w:bottom w:val="single" w:sz="4" w:space="0" w:color="auto"/>
            </w:tcBorders>
          </w:tcPr>
          <w:p w:rsidR="007C51E8" w:rsidRPr="00F61AD0" w:rsidRDefault="007C51E8" w:rsidP="007C51E8">
            <w:pPr>
              <w:pStyle w:val="TableText"/>
              <w:rPr>
                <w:sz w:val="19"/>
                <w:szCs w:val="19"/>
              </w:rPr>
            </w:pPr>
            <w:r w:rsidRPr="00F61AD0">
              <w:rPr>
                <w:w w:val="103"/>
                <w:sz w:val="19"/>
                <w:szCs w:val="19"/>
              </w:rPr>
              <w:t>0</w:t>
            </w:r>
          </w:p>
        </w:tc>
        <w:tc>
          <w:tcPr>
            <w:tcW w:w="524" w:type="pct"/>
            <w:tcBorders>
              <w:bottom w:val="single" w:sz="4" w:space="0" w:color="auto"/>
            </w:tcBorders>
          </w:tcPr>
          <w:p w:rsidR="007C51E8" w:rsidRPr="00F61AD0" w:rsidRDefault="007C51E8" w:rsidP="007C51E8">
            <w:pPr>
              <w:pStyle w:val="TableText"/>
              <w:rPr>
                <w:sz w:val="19"/>
                <w:szCs w:val="19"/>
              </w:rPr>
            </w:pPr>
            <w:r w:rsidRPr="00F61AD0">
              <w:rPr>
                <w:w w:val="105"/>
                <w:sz w:val="19"/>
                <w:szCs w:val="19"/>
              </w:rPr>
              <w:t>0.0</w:t>
            </w:r>
          </w:p>
        </w:tc>
        <w:tc>
          <w:tcPr>
            <w:tcW w:w="522" w:type="pct"/>
            <w:tcBorders>
              <w:bottom w:val="single" w:sz="4" w:space="0" w:color="auto"/>
            </w:tcBorders>
          </w:tcPr>
          <w:p w:rsidR="007C51E8" w:rsidRPr="00F61AD0" w:rsidRDefault="007C51E8" w:rsidP="007C51E8">
            <w:pPr>
              <w:pStyle w:val="TableText"/>
              <w:rPr>
                <w:sz w:val="19"/>
                <w:szCs w:val="19"/>
              </w:rPr>
            </w:pPr>
            <w:r w:rsidRPr="00F61AD0">
              <w:rPr>
                <w:w w:val="105"/>
                <w:sz w:val="19"/>
                <w:szCs w:val="19"/>
              </w:rPr>
              <w:t>68</w:t>
            </w:r>
          </w:p>
        </w:tc>
      </w:tr>
      <w:tr w:rsidR="007C51E8" w:rsidRPr="00F61AD0" w:rsidTr="007C51E8">
        <w:tc>
          <w:tcPr>
            <w:tcW w:w="1334" w:type="pct"/>
            <w:tcBorders>
              <w:bottom w:val="single" w:sz="4" w:space="0" w:color="auto"/>
            </w:tcBorders>
          </w:tcPr>
          <w:p w:rsidR="007C51E8" w:rsidRPr="00F61AD0" w:rsidRDefault="007C51E8" w:rsidP="007C51E8">
            <w:pPr>
              <w:pStyle w:val="TableText"/>
              <w:rPr>
                <w:w w:val="105"/>
                <w:sz w:val="19"/>
                <w:szCs w:val="19"/>
              </w:rPr>
            </w:pPr>
            <w:r w:rsidRPr="00F61AD0">
              <w:rPr>
                <w:w w:val="105"/>
                <w:sz w:val="19"/>
                <w:szCs w:val="19"/>
              </w:rPr>
              <w:t>No response</w:t>
            </w:r>
          </w:p>
        </w:tc>
        <w:tc>
          <w:tcPr>
            <w:tcW w:w="524" w:type="pct"/>
            <w:tcBorders>
              <w:bottom w:val="single" w:sz="4" w:space="0" w:color="auto"/>
            </w:tcBorders>
          </w:tcPr>
          <w:p w:rsidR="007C51E8" w:rsidRPr="00F61AD0" w:rsidRDefault="007C51E8" w:rsidP="007C51E8">
            <w:pPr>
              <w:pStyle w:val="TableText"/>
              <w:rPr>
                <w:sz w:val="19"/>
                <w:szCs w:val="19"/>
              </w:rPr>
            </w:pPr>
            <w:r w:rsidRPr="00F61AD0">
              <w:rPr>
                <w:w w:val="105"/>
                <w:sz w:val="19"/>
                <w:szCs w:val="19"/>
              </w:rPr>
              <w:t>10</w:t>
            </w:r>
          </w:p>
        </w:tc>
        <w:tc>
          <w:tcPr>
            <w:tcW w:w="524" w:type="pct"/>
            <w:tcBorders>
              <w:bottom w:val="single" w:sz="4" w:space="0" w:color="auto"/>
            </w:tcBorders>
          </w:tcPr>
          <w:p w:rsidR="007C51E8" w:rsidRPr="00F61AD0" w:rsidRDefault="007C51E8" w:rsidP="007C51E8">
            <w:pPr>
              <w:pStyle w:val="TableText"/>
              <w:rPr>
                <w:sz w:val="19"/>
                <w:szCs w:val="19"/>
              </w:rPr>
            </w:pPr>
            <w:r w:rsidRPr="00F61AD0">
              <w:rPr>
                <w:w w:val="105"/>
                <w:sz w:val="19"/>
                <w:szCs w:val="19"/>
              </w:rPr>
              <w:t>2.7</w:t>
            </w:r>
          </w:p>
        </w:tc>
        <w:tc>
          <w:tcPr>
            <w:tcW w:w="524" w:type="pct"/>
            <w:tcBorders>
              <w:bottom w:val="single" w:sz="4" w:space="0" w:color="auto"/>
            </w:tcBorders>
          </w:tcPr>
          <w:p w:rsidR="007C51E8" w:rsidRPr="00F61AD0" w:rsidRDefault="007C51E8" w:rsidP="007C51E8">
            <w:pPr>
              <w:pStyle w:val="TableText"/>
              <w:rPr>
                <w:sz w:val="19"/>
                <w:szCs w:val="19"/>
              </w:rPr>
            </w:pPr>
            <w:r w:rsidRPr="00F61AD0">
              <w:rPr>
                <w:w w:val="103"/>
                <w:sz w:val="19"/>
                <w:szCs w:val="19"/>
              </w:rPr>
              <w:t>5</w:t>
            </w:r>
          </w:p>
        </w:tc>
        <w:tc>
          <w:tcPr>
            <w:tcW w:w="524" w:type="pct"/>
            <w:tcBorders>
              <w:bottom w:val="single" w:sz="4" w:space="0" w:color="auto"/>
            </w:tcBorders>
          </w:tcPr>
          <w:p w:rsidR="007C51E8" w:rsidRPr="00F61AD0" w:rsidRDefault="007C51E8" w:rsidP="007C51E8">
            <w:pPr>
              <w:pStyle w:val="TableText"/>
              <w:rPr>
                <w:sz w:val="19"/>
                <w:szCs w:val="19"/>
              </w:rPr>
            </w:pPr>
            <w:r w:rsidRPr="00F61AD0">
              <w:rPr>
                <w:w w:val="105"/>
                <w:sz w:val="19"/>
                <w:szCs w:val="19"/>
              </w:rPr>
              <w:t>2.2</w:t>
            </w:r>
          </w:p>
        </w:tc>
        <w:tc>
          <w:tcPr>
            <w:tcW w:w="524" w:type="pct"/>
            <w:tcBorders>
              <w:bottom w:val="single" w:sz="4" w:space="0" w:color="auto"/>
            </w:tcBorders>
          </w:tcPr>
          <w:p w:rsidR="007C51E8" w:rsidRPr="00F61AD0" w:rsidRDefault="007C51E8" w:rsidP="007C51E8">
            <w:pPr>
              <w:pStyle w:val="TableText"/>
              <w:rPr>
                <w:sz w:val="19"/>
                <w:szCs w:val="19"/>
              </w:rPr>
            </w:pPr>
            <w:r w:rsidRPr="00F61AD0">
              <w:rPr>
                <w:w w:val="103"/>
                <w:sz w:val="19"/>
                <w:szCs w:val="19"/>
              </w:rPr>
              <w:t>2</w:t>
            </w:r>
          </w:p>
        </w:tc>
        <w:tc>
          <w:tcPr>
            <w:tcW w:w="524" w:type="pct"/>
            <w:tcBorders>
              <w:bottom w:val="single" w:sz="4" w:space="0" w:color="auto"/>
            </w:tcBorders>
          </w:tcPr>
          <w:p w:rsidR="007C51E8" w:rsidRPr="00F61AD0" w:rsidRDefault="007C51E8" w:rsidP="007C51E8">
            <w:pPr>
              <w:pStyle w:val="TableText"/>
              <w:rPr>
                <w:sz w:val="19"/>
                <w:szCs w:val="19"/>
              </w:rPr>
            </w:pPr>
            <w:r w:rsidRPr="00F61AD0">
              <w:rPr>
                <w:w w:val="105"/>
                <w:sz w:val="19"/>
                <w:szCs w:val="19"/>
              </w:rPr>
              <w:t>16.7</w:t>
            </w:r>
          </w:p>
        </w:tc>
        <w:tc>
          <w:tcPr>
            <w:tcW w:w="522" w:type="pct"/>
            <w:tcBorders>
              <w:bottom w:val="single" w:sz="4" w:space="0" w:color="auto"/>
            </w:tcBorders>
          </w:tcPr>
          <w:p w:rsidR="007C51E8" w:rsidRPr="00F61AD0" w:rsidRDefault="007C51E8" w:rsidP="007C51E8">
            <w:pPr>
              <w:pStyle w:val="TableText"/>
              <w:rPr>
                <w:sz w:val="19"/>
                <w:szCs w:val="19"/>
              </w:rPr>
            </w:pPr>
            <w:r w:rsidRPr="00F61AD0">
              <w:rPr>
                <w:w w:val="105"/>
                <w:sz w:val="19"/>
                <w:szCs w:val="19"/>
              </w:rPr>
              <w:t>17</w:t>
            </w:r>
          </w:p>
        </w:tc>
      </w:tr>
      <w:tr w:rsidR="007C51E8" w:rsidRPr="00F61AD0" w:rsidTr="007C51E8">
        <w:tc>
          <w:tcPr>
            <w:tcW w:w="1334" w:type="pct"/>
            <w:tcBorders>
              <w:top w:val="single" w:sz="4" w:space="0" w:color="auto"/>
              <w:left w:val="single" w:sz="4" w:space="0" w:color="auto"/>
              <w:bottom w:val="single" w:sz="4" w:space="0" w:color="auto"/>
              <w:right w:val="nil"/>
            </w:tcBorders>
            <w:shd w:val="clear" w:color="auto" w:fill="F2F2F2" w:themeFill="background1" w:themeFillShade="F2"/>
          </w:tcPr>
          <w:p w:rsidR="007C51E8" w:rsidRPr="00F61AD0" w:rsidRDefault="007C51E8" w:rsidP="007C51E8">
            <w:pPr>
              <w:pStyle w:val="TableText"/>
              <w:rPr>
                <w:b/>
                <w:sz w:val="19"/>
                <w:szCs w:val="19"/>
              </w:rPr>
            </w:pPr>
            <w:r w:rsidRPr="00F61AD0">
              <w:rPr>
                <w:b/>
                <w:w w:val="105"/>
                <w:sz w:val="19"/>
                <w:szCs w:val="19"/>
              </w:rPr>
              <w:t>Campus</w:t>
            </w:r>
          </w:p>
        </w:tc>
        <w:tc>
          <w:tcPr>
            <w:tcW w:w="524" w:type="pct"/>
            <w:tcBorders>
              <w:top w:val="single" w:sz="4" w:space="0" w:color="auto"/>
              <w:left w:val="nil"/>
              <w:bottom w:val="single" w:sz="4" w:space="0" w:color="auto"/>
              <w:right w:val="nil"/>
            </w:tcBorders>
            <w:shd w:val="clear" w:color="auto" w:fill="F2F2F2" w:themeFill="background1" w:themeFillShade="F2"/>
          </w:tcPr>
          <w:p w:rsidR="007C51E8" w:rsidRPr="00F61AD0" w:rsidRDefault="007C51E8" w:rsidP="007C51E8">
            <w:pPr>
              <w:pStyle w:val="TableText"/>
              <w:rPr>
                <w:rFonts w:ascii="Times New Roman"/>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7C51E8" w:rsidRPr="00F61AD0" w:rsidRDefault="007C51E8" w:rsidP="007C51E8">
            <w:pPr>
              <w:pStyle w:val="TableText"/>
              <w:rPr>
                <w:rFonts w:ascii="Times New Roman"/>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7C51E8" w:rsidRPr="00F61AD0" w:rsidRDefault="007C51E8" w:rsidP="007C51E8">
            <w:pPr>
              <w:pStyle w:val="TableText"/>
              <w:rPr>
                <w:rFonts w:ascii="Times New Roman"/>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7C51E8" w:rsidRPr="00F61AD0" w:rsidRDefault="007C51E8" w:rsidP="007C51E8">
            <w:pPr>
              <w:pStyle w:val="TableText"/>
              <w:rPr>
                <w:rFonts w:ascii="Times New Roman"/>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7C51E8" w:rsidRPr="00F61AD0" w:rsidRDefault="007C51E8" w:rsidP="007C51E8">
            <w:pPr>
              <w:pStyle w:val="TableText"/>
              <w:rPr>
                <w:rFonts w:ascii="Times New Roman"/>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7C51E8" w:rsidRPr="00F61AD0" w:rsidRDefault="007C51E8" w:rsidP="007C51E8">
            <w:pPr>
              <w:pStyle w:val="TableText"/>
              <w:rPr>
                <w:rFonts w:ascii="Times New Roman"/>
                <w:sz w:val="19"/>
                <w:szCs w:val="19"/>
              </w:rPr>
            </w:pPr>
          </w:p>
        </w:tc>
        <w:tc>
          <w:tcPr>
            <w:tcW w:w="522" w:type="pct"/>
            <w:tcBorders>
              <w:top w:val="single" w:sz="4" w:space="0" w:color="auto"/>
              <w:left w:val="nil"/>
              <w:bottom w:val="single" w:sz="4" w:space="0" w:color="auto"/>
              <w:right w:val="single" w:sz="4" w:space="0" w:color="auto"/>
            </w:tcBorders>
            <w:shd w:val="clear" w:color="auto" w:fill="F2F2F2" w:themeFill="background1" w:themeFillShade="F2"/>
          </w:tcPr>
          <w:p w:rsidR="007C51E8" w:rsidRPr="00F61AD0" w:rsidRDefault="007C51E8" w:rsidP="007C51E8">
            <w:pPr>
              <w:pStyle w:val="TableText"/>
              <w:rPr>
                <w:rFonts w:ascii="Times New Roman"/>
                <w:sz w:val="19"/>
                <w:szCs w:val="19"/>
              </w:rPr>
            </w:pPr>
          </w:p>
        </w:tc>
      </w:tr>
      <w:tr w:rsidR="007C51E8" w:rsidRPr="00F61AD0" w:rsidTr="007C51E8">
        <w:tc>
          <w:tcPr>
            <w:tcW w:w="1334" w:type="pct"/>
            <w:tcBorders>
              <w:top w:val="single" w:sz="4" w:space="0" w:color="auto"/>
            </w:tcBorders>
          </w:tcPr>
          <w:p w:rsidR="007C51E8" w:rsidRPr="00F61AD0" w:rsidRDefault="007C51E8" w:rsidP="007C51E8">
            <w:pPr>
              <w:pStyle w:val="TableText"/>
              <w:rPr>
                <w:sz w:val="19"/>
                <w:szCs w:val="19"/>
              </w:rPr>
            </w:pPr>
            <w:r w:rsidRPr="00F61AD0">
              <w:rPr>
                <w:w w:val="105"/>
                <w:sz w:val="19"/>
                <w:szCs w:val="19"/>
              </w:rPr>
              <w:t>Metropolitan</w:t>
            </w:r>
            <w:bookmarkStart w:id="26" w:name="_Ref512496369"/>
            <w:r w:rsidR="00D20EB6" w:rsidRPr="00F61AD0">
              <w:rPr>
                <w:rStyle w:val="FootnoteReference"/>
                <w:w w:val="105"/>
                <w:sz w:val="19"/>
                <w:szCs w:val="19"/>
              </w:rPr>
              <w:footnoteReference w:id="5"/>
            </w:r>
            <w:bookmarkEnd w:id="26"/>
          </w:p>
        </w:tc>
        <w:tc>
          <w:tcPr>
            <w:tcW w:w="524" w:type="pct"/>
            <w:tcBorders>
              <w:top w:val="single" w:sz="4" w:space="0" w:color="auto"/>
            </w:tcBorders>
          </w:tcPr>
          <w:p w:rsidR="007C51E8" w:rsidRPr="00F61AD0" w:rsidRDefault="007C51E8" w:rsidP="007C51E8">
            <w:pPr>
              <w:pStyle w:val="TableText"/>
              <w:rPr>
                <w:sz w:val="19"/>
                <w:szCs w:val="19"/>
              </w:rPr>
            </w:pPr>
            <w:r w:rsidRPr="00F61AD0">
              <w:rPr>
                <w:w w:val="105"/>
                <w:sz w:val="19"/>
                <w:szCs w:val="19"/>
              </w:rPr>
              <w:t>297</w:t>
            </w:r>
          </w:p>
        </w:tc>
        <w:tc>
          <w:tcPr>
            <w:tcW w:w="524" w:type="pct"/>
            <w:tcBorders>
              <w:top w:val="single" w:sz="4" w:space="0" w:color="auto"/>
            </w:tcBorders>
          </w:tcPr>
          <w:p w:rsidR="007C51E8" w:rsidRPr="00F61AD0" w:rsidRDefault="007C51E8" w:rsidP="007C51E8">
            <w:pPr>
              <w:pStyle w:val="TableText"/>
              <w:rPr>
                <w:sz w:val="19"/>
                <w:szCs w:val="19"/>
              </w:rPr>
            </w:pPr>
            <w:r w:rsidRPr="00F61AD0">
              <w:rPr>
                <w:w w:val="105"/>
                <w:sz w:val="19"/>
                <w:szCs w:val="19"/>
              </w:rPr>
              <w:t>81.6</w:t>
            </w:r>
          </w:p>
        </w:tc>
        <w:tc>
          <w:tcPr>
            <w:tcW w:w="524" w:type="pct"/>
            <w:tcBorders>
              <w:top w:val="single" w:sz="4" w:space="0" w:color="auto"/>
            </w:tcBorders>
          </w:tcPr>
          <w:p w:rsidR="007C51E8" w:rsidRPr="00F61AD0" w:rsidRDefault="007C51E8" w:rsidP="007C51E8">
            <w:pPr>
              <w:pStyle w:val="TableText"/>
              <w:rPr>
                <w:sz w:val="19"/>
                <w:szCs w:val="19"/>
              </w:rPr>
            </w:pPr>
            <w:r w:rsidRPr="00F61AD0">
              <w:rPr>
                <w:w w:val="105"/>
                <w:sz w:val="19"/>
                <w:szCs w:val="19"/>
              </w:rPr>
              <w:t>51</w:t>
            </w:r>
          </w:p>
        </w:tc>
        <w:tc>
          <w:tcPr>
            <w:tcW w:w="524" w:type="pct"/>
            <w:tcBorders>
              <w:top w:val="single" w:sz="4" w:space="0" w:color="auto"/>
            </w:tcBorders>
          </w:tcPr>
          <w:p w:rsidR="007C51E8" w:rsidRPr="00F61AD0" w:rsidRDefault="007C51E8" w:rsidP="007C51E8">
            <w:pPr>
              <w:pStyle w:val="TableText"/>
              <w:rPr>
                <w:sz w:val="19"/>
                <w:szCs w:val="19"/>
              </w:rPr>
            </w:pPr>
            <w:r w:rsidRPr="00F61AD0">
              <w:rPr>
                <w:w w:val="105"/>
                <w:sz w:val="19"/>
                <w:szCs w:val="19"/>
              </w:rPr>
              <w:t>22.1</w:t>
            </w:r>
          </w:p>
        </w:tc>
        <w:tc>
          <w:tcPr>
            <w:tcW w:w="524" w:type="pct"/>
            <w:tcBorders>
              <w:top w:val="single" w:sz="4" w:space="0" w:color="auto"/>
            </w:tcBorders>
          </w:tcPr>
          <w:p w:rsidR="007C51E8" w:rsidRPr="00F61AD0" w:rsidRDefault="007C51E8" w:rsidP="007C51E8">
            <w:pPr>
              <w:pStyle w:val="TableText"/>
              <w:rPr>
                <w:sz w:val="19"/>
                <w:szCs w:val="19"/>
              </w:rPr>
            </w:pPr>
            <w:r w:rsidRPr="00F61AD0">
              <w:rPr>
                <w:w w:val="103"/>
                <w:sz w:val="19"/>
                <w:szCs w:val="19"/>
              </w:rPr>
              <w:t>3</w:t>
            </w:r>
          </w:p>
        </w:tc>
        <w:tc>
          <w:tcPr>
            <w:tcW w:w="524" w:type="pct"/>
            <w:tcBorders>
              <w:top w:val="single" w:sz="4" w:space="0" w:color="auto"/>
            </w:tcBorders>
          </w:tcPr>
          <w:p w:rsidR="007C51E8" w:rsidRPr="00F61AD0" w:rsidRDefault="007C51E8" w:rsidP="007C51E8">
            <w:pPr>
              <w:pStyle w:val="TableText"/>
              <w:rPr>
                <w:sz w:val="19"/>
                <w:szCs w:val="19"/>
              </w:rPr>
            </w:pPr>
            <w:r w:rsidRPr="00F61AD0">
              <w:rPr>
                <w:w w:val="105"/>
                <w:sz w:val="19"/>
                <w:szCs w:val="19"/>
              </w:rPr>
              <w:t>25.0</w:t>
            </w:r>
          </w:p>
        </w:tc>
        <w:tc>
          <w:tcPr>
            <w:tcW w:w="522" w:type="pct"/>
            <w:tcBorders>
              <w:top w:val="single" w:sz="4" w:space="0" w:color="auto"/>
            </w:tcBorders>
          </w:tcPr>
          <w:p w:rsidR="007C51E8" w:rsidRPr="00F61AD0" w:rsidRDefault="007C51E8" w:rsidP="007C51E8">
            <w:pPr>
              <w:pStyle w:val="TableText"/>
              <w:rPr>
                <w:sz w:val="19"/>
                <w:szCs w:val="19"/>
              </w:rPr>
            </w:pPr>
            <w:r w:rsidRPr="00F61AD0">
              <w:rPr>
                <w:w w:val="105"/>
                <w:sz w:val="19"/>
                <w:szCs w:val="19"/>
              </w:rPr>
              <w:t>351</w:t>
            </w:r>
          </w:p>
        </w:tc>
      </w:tr>
      <w:tr w:rsidR="007C51E8" w:rsidRPr="00F61AD0" w:rsidTr="007C51E8">
        <w:tc>
          <w:tcPr>
            <w:tcW w:w="1334" w:type="pct"/>
          </w:tcPr>
          <w:p w:rsidR="007C51E8" w:rsidRPr="00F61AD0" w:rsidRDefault="007C51E8" w:rsidP="00D20EB6">
            <w:pPr>
              <w:pStyle w:val="TableText"/>
              <w:rPr>
                <w:sz w:val="19"/>
                <w:szCs w:val="19"/>
              </w:rPr>
            </w:pPr>
            <w:r w:rsidRPr="00F61AD0">
              <w:rPr>
                <w:w w:val="105"/>
                <w:sz w:val="19"/>
                <w:szCs w:val="19"/>
              </w:rPr>
              <w:t>Regional</w:t>
            </w:r>
            <w:r w:rsidR="00D20EB6" w:rsidRPr="00F61AD0">
              <w:rPr>
                <w:sz w:val="19"/>
                <w:szCs w:val="19"/>
              </w:rPr>
              <w:fldChar w:fldCharType="begin"/>
            </w:r>
            <w:r w:rsidR="00D20EB6" w:rsidRPr="00F61AD0">
              <w:rPr>
                <w:w w:val="105"/>
                <w:sz w:val="19"/>
                <w:szCs w:val="19"/>
              </w:rPr>
              <w:instrText xml:space="preserve"> NOTEREF _Ref512496369 \f \h </w:instrText>
            </w:r>
            <w:r w:rsidR="00D20EB6" w:rsidRPr="00F61AD0">
              <w:rPr>
                <w:sz w:val="19"/>
                <w:szCs w:val="19"/>
              </w:rPr>
            </w:r>
            <w:r w:rsidR="00F61AD0">
              <w:rPr>
                <w:sz w:val="19"/>
                <w:szCs w:val="19"/>
              </w:rPr>
              <w:instrText xml:space="preserve"> \* MERGEFORMAT </w:instrText>
            </w:r>
            <w:r w:rsidR="00D20EB6" w:rsidRPr="00F61AD0">
              <w:rPr>
                <w:sz w:val="19"/>
                <w:szCs w:val="19"/>
              </w:rPr>
              <w:fldChar w:fldCharType="separate"/>
            </w:r>
            <w:r w:rsidR="00D20EB6" w:rsidRPr="00F61AD0">
              <w:rPr>
                <w:rStyle w:val="FootnoteReference"/>
                <w:sz w:val="19"/>
                <w:szCs w:val="19"/>
              </w:rPr>
              <w:t>5</w:t>
            </w:r>
            <w:r w:rsidR="00D20EB6" w:rsidRPr="00F61AD0">
              <w:rPr>
                <w:sz w:val="19"/>
                <w:szCs w:val="19"/>
              </w:rPr>
              <w:fldChar w:fldCharType="end"/>
            </w:r>
          </w:p>
        </w:tc>
        <w:tc>
          <w:tcPr>
            <w:tcW w:w="524" w:type="pct"/>
          </w:tcPr>
          <w:p w:rsidR="007C51E8" w:rsidRPr="00F61AD0" w:rsidRDefault="007C51E8" w:rsidP="007C51E8">
            <w:pPr>
              <w:pStyle w:val="TableText"/>
              <w:rPr>
                <w:sz w:val="19"/>
                <w:szCs w:val="19"/>
              </w:rPr>
            </w:pPr>
            <w:r w:rsidRPr="00F61AD0">
              <w:rPr>
                <w:w w:val="105"/>
                <w:sz w:val="19"/>
                <w:szCs w:val="19"/>
              </w:rPr>
              <w:t>33</w:t>
            </w:r>
          </w:p>
        </w:tc>
        <w:tc>
          <w:tcPr>
            <w:tcW w:w="524" w:type="pct"/>
          </w:tcPr>
          <w:p w:rsidR="007C51E8" w:rsidRPr="00F61AD0" w:rsidRDefault="007C51E8" w:rsidP="007C51E8">
            <w:pPr>
              <w:pStyle w:val="TableText"/>
              <w:rPr>
                <w:sz w:val="19"/>
                <w:szCs w:val="19"/>
              </w:rPr>
            </w:pPr>
            <w:r w:rsidRPr="00F61AD0">
              <w:rPr>
                <w:w w:val="105"/>
                <w:sz w:val="19"/>
                <w:szCs w:val="19"/>
              </w:rPr>
              <w:t>9.1</w:t>
            </w:r>
          </w:p>
        </w:tc>
        <w:tc>
          <w:tcPr>
            <w:tcW w:w="524" w:type="pct"/>
          </w:tcPr>
          <w:p w:rsidR="007C51E8" w:rsidRPr="00F61AD0" w:rsidRDefault="007C51E8" w:rsidP="007C51E8">
            <w:pPr>
              <w:pStyle w:val="TableText"/>
              <w:rPr>
                <w:sz w:val="19"/>
                <w:szCs w:val="19"/>
              </w:rPr>
            </w:pPr>
            <w:r w:rsidRPr="00F61AD0">
              <w:rPr>
                <w:w w:val="105"/>
                <w:sz w:val="19"/>
                <w:szCs w:val="19"/>
              </w:rPr>
              <w:t>41</w:t>
            </w:r>
          </w:p>
        </w:tc>
        <w:tc>
          <w:tcPr>
            <w:tcW w:w="524" w:type="pct"/>
          </w:tcPr>
          <w:p w:rsidR="007C51E8" w:rsidRPr="00F61AD0" w:rsidRDefault="007C51E8" w:rsidP="007C51E8">
            <w:pPr>
              <w:pStyle w:val="TableText"/>
              <w:rPr>
                <w:sz w:val="19"/>
                <w:szCs w:val="19"/>
              </w:rPr>
            </w:pPr>
            <w:r w:rsidRPr="00F61AD0">
              <w:rPr>
                <w:w w:val="105"/>
                <w:sz w:val="19"/>
                <w:szCs w:val="19"/>
              </w:rPr>
              <w:t>17.7</w:t>
            </w:r>
          </w:p>
        </w:tc>
        <w:tc>
          <w:tcPr>
            <w:tcW w:w="524" w:type="pct"/>
          </w:tcPr>
          <w:p w:rsidR="007C51E8" w:rsidRPr="00F61AD0" w:rsidRDefault="007C51E8" w:rsidP="007C51E8">
            <w:pPr>
              <w:pStyle w:val="TableText"/>
              <w:rPr>
                <w:sz w:val="19"/>
                <w:szCs w:val="19"/>
              </w:rPr>
            </w:pPr>
            <w:r w:rsidRPr="00F61AD0">
              <w:rPr>
                <w:w w:val="103"/>
                <w:sz w:val="19"/>
                <w:szCs w:val="19"/>
              </w:rPr>
              <w:t>1</w:t>
            </w:r>
          </w:p>
        </w:tc>
        <w:tc>
          <w:tcPr>
            <w:tcW w:w="524" w:type="pct"/>
          </w:tcPr>
          <w:p w:rsidR="007C51E8" w:rsidRPr="00F61AD0" w:rsidRDefault="007C51E8" w:rsidP="007C51E8">
            <w:pPr>
              <w:pStyle w:val="TableText"/>
              <w:rPr>
                <w:sz w:val="19"/>
                <w:szCs w:val="19"/>
              </w:rPr>
            </w:pPr>
            <w:r w:rsidRPr="00F61AD0">
              <w:rPr>
                <w:w w:val="105"/>
                <w:sz w:val="19"/>
                <w:szCs w:val="19"/>
              </w:rPr>
              <w:t>8.3</w:t>
            </w:r>
          </w:p>
        </w:tc>
        <w:tc>
          <w:tcPr>
            <w:tcW w:w="522" w:type="pct"/>
          </w:tcPr>
          <w:p w:rsidR="007C51E8" w:rsidRPr="00F61AD0" w:rsidRDefault="007C51E8" w:rsidP="007C51E8">
            <w:pPr>
              <w:pStyle w:val="TableText"/>
              <w:rPr>
                <w:sz w:val="19"/>
                <w:szCs w:val="19"/>
              </w:rPr>
            </w:pPr>
            <w:r w:rsidRPr="00F61AD0">
              <w:rPr>
                <w:w w:val="105"/>
                <w:sz w:val="19"/>
                <w:szCs w:val="19"/>
              </w:rPr>
              <w:t>75</w:t>
            </w:r>
          </w:p>
        </w:tc>
      </w:tr>
      <w:tr w:rsidR="007C51E8" w:rsidRPr="00F61AD0" w:rsidTr="007C51E8">
        <w:tc>
          <w:tcPr>
            <w:tcW w:w="1334" w:type="pct"/>
            <w:tcBorders>
              <w:bottom w:val="single" w:sz="4" w:space="0" w:color="auto"/>
            </w:tcBorders>
          </w:tcPr>
          <w:p w:rsidR="007C51E8" w:rsidRPr="00F61AD0" w:rsidRDefault="007C51E8" w:rsidP="007C51E8">
            <w:pPr>
              <w:pStyle w:val="TableText"/>
              <w:rPr>
                <w:sz w:val="19"/>
                <w:szCs w:val="19"/>
              </w:rPr>
            </w:pPr>
            <w:r w:rsidRPr="00F61AD0">
              <w:rPr>
                <w:w w:val="105"/>
                <w:sz w:val="19"/>
                <w:szCs w:val="19"/>
              </w:rPr>
              <w:t>Online only</w:t>
            </w:r>
          </w:p>
        </w:tc>
        <w:tc>
          <w:tcPr>
            <w:tcW w:w="524" w:type="pct"/>
            <w:tcBorders>
              <w:bottom w:val="single" w:sz="4" w:space="0" w:color="auto"/>
            </w:tcBorders>
          </w:tcPr>
          <w:p w:rsidR="007C51E8" w:rsidRPr="00F61AD0" w:rsidRDefault="007C51E8" w:rsidP="007C51E8">
            <w:pPr>
              <w:pStyle w:val="TableText"/>
              <w:rPr>
                <w:sz w:val="19"/>
                <w:szCs w:val="19"/>
              </w:rPr>
            </w:pPr>
            <w:r w:rsidRPr="00F61AD0">
              <w:rPr>
                <w:w w:val="105"/>
                <w:sz w:val="19"/>
                <w:szCs w:val="19"/>
              </w:rPr>
              <w:t>24</w:t>
            </w:r>
          </w:p>
        </w:tc>
        <w:tc>
          <w:tcPr>
            <w:tcW w:w="524" w:type="pct"/>
            <w:tcBorders>
              <w:bottom w:val="single" w:sz="4" w:space="0" w:color="auto"/>
            </w:tcBorders>
          </w:tcPr>
          <w:p w:rsidR="007C51E8" w:rsidRPr="00F61AD0" w:rsidRDefault="007C51E8" w:rsidP="007C51E8">
            <w:pPr>
              <w:pStyle w:val="TableText"/>
              <w:rPr>
                <w:sz w:val="19"/>
                <w:szCs w:val="19"/>
              </w:rPr>
            </w:pPr>
            <w:r w:rsidRPr="00F61AD0">
              <w:rPr>
                <w:w w:val="105"/>
                <w:sz w:val="19"/>
                <w:szCs w:val="19"/>
              </w:rPr>
              <w:t>6.6</w:t>
            </w:r>
          </w:p>
        </w:tc>
        <w:tc>
          <w:tcPr>
            <w:tcW w:w="524" w:type="pct"/>
            <w:tcBorders>
              <w:bottom w:val="single" w:sz="4" w:space="0" w:color="auto"/>
            </w:tcBorders>
          </w:tcPr>
          <w:p w:rsidR="007C51E8" w:rsidRPr="00F61AD0" w:rsidRDefault="007C51E8" w:rsidP="007C51E8">
            <w:pPr>
              <w:pStyle w:val="TableText"/>
              <w:rPr>
                <w:sz w:val="19"/>
                <w:szCs w:val="19"/>
              </w:rPr>
            </w:pPr>
            <w:r w:rsidRPr="00F61AD0">
              <w:rPr>
                <w:w w:val="105"/>
                <w:sz w:val="19"/>
                <w:szCs w:val="19"/>
              </w:rPr>
              <w:t>134</w:t>
            </w:r>
          </w:p>
        </w:tc>
        <w:tc>
          <w:tcPr>
            <w:tcW w:w="524" w:type="pct"/>
            <w:tcBorders>
              <w:bottom w:val="single" w:sz="4" w:space="0" w:color="auto"/>
            </w:tcBorders>
          </w:tcPr>
          <w:p w:rsidR="007C51E8" w:rsidRPr="00F61AD0" w:rsidRDefault="007C51E8" w:rsidP="007C51E8">
            <w:pPr>
              <w:pStyle w:val="TableText"/>
              <w:rPr>
                <w:sz w:val="19"/>
                <w:szCs w:val="19"/>
              </w:rPr>
            </w:pPr>
            <w:r w:rsidRPr="00F61AD0">
              <w:rPr>
                <w:w w:val="105"/>
                <w:sz w:val="19"/>
                <w:szCs w:val="19"/>
              </w:rPr>
              <w:t>58.0</w:t>
            </w:r>
          </w:p>
        </w:tc>
        <w:tc>
          <w:tcPr>
            <w:tcW w:w="524" w:type="pct"/>
            <w:tcBorders>
              <w:bottom w:val="single" w:sz="4" w:space="0" w:color="auto"/>
            </w:tcBorders>
          </w:tcPr>
          <w:p w:rsidR="007C51E8" w:rsidRPr="00F61AD0" w:rsidRDefault="007C51E8" w:rsidP="007C51E8">
            <w:pPr>
              <w:pStyle w:val="TableText"/>
              <w:rPr>
                <w:sz w:val="19"/>
                <w:szCs w:val="19"/>
              </w:rPr>
            </w:pPr>
            <w:r w:rsidRPr="00F61AD0">
              <w:rPr>
                <w:w w:val="103"/>
                <w:sz w:val="19"/>
                <w:szCs w:val="19"/>
              </w:rPr>
              <w:t>6</w:t>
            </w:r>
          </w:p>
        </w:tc>
        <w:tc>
          <w:tcPr>
            <w:tcW w:w="524" w:type="pct"/>
            <w:tcBorders>
              <w:bottom w:val="single" w:sz="4" w:space="0" w:color="auto"/>
            </w:tcBorders>
          </w:tcPr>
          <w:p w:rsidR="007C51E8" w:rsidRPr="00F61AD0" w:rsidRDefault="007C51E8" w:rsidP="007C51E8">
            <w:pPr>
              <w:pStyle w:val="TableText"/>
              <w:rPr>
                <w:sz w:val="19"/>
                <w:szCs w:val="19"/>
              </w:rPr>
            </w:pPr>
            <w:r w:rsidRPr="00F61AD0">
              <w:rPr>
                <w:w w:val="105"/>
                <w:sz w:val="19"/>
                <w:szCs w:val="19"/>
              </w:rPr>
              <w:t>50.0</w:t>
            </w:r>
          </w:p>
        </w:tc>
        <w:tc>
          <w:tcPr>
            <w:tcW w:w="522" w:type="pct"/>
            <w:tcBorders>
              <w:bottom w:val="single" w:sz="4" w:space="0" w:color="auto"/>
            </w:tcBorders>
          </w:tcPr>
          <w:p w:rsidR="007C51E8" w:rsidRPr="00F61AD0" w:rsidRDefault="007C51E8" w:rsidP="007C51E8">
            <w:pPr>
              <w:pStyle w:val="TableText"/>
              <w:rPr>
                <w:sz w:val="19"/>
                <w:szCs w:val="19"/>
              </w:rPr>
            </w:pPr>
            <w:r w:rsidRPr="00F61AD0">
              <w:rPr>
                <w:w w:val="105"/>
                <w:sz w:val="19"/>
                <w:szCs w:val="19"/>
              </w:rPr>
              <w:t>164</w:t>
            </w:r>
          </w:p>
        </w:tc>
      </w:tr>
      <w:tr w:rsidR="007C51E8" w:rsidRPr="00F61AD0" w:rsidTr="007C51E8">
        <w:tc>
          <w:tcPr>
            <w:tcW w:w="1334" w:type="pct"/>
            <w:tcBorders>
              <w:bottom w:val="single" w:sz="4" w:space="0" w:color="auto"/>
            </w:tcBorders>
          </w:tcPr>
          <w:p w:rsidR="007C51E8" w:rsidRPr="00F61AD0" w:rsidRDefault="007C51E8" w:rsidP="007C51E8">
            <w:pPr>
              <w:pStyle w:val="TableText"/>
              <w:rPr>
                <w:w w:val="105"/>
                <w:sz w:val="19"/>
                <w:szCs w:val="19"/>
              </w:rPr>
            </w:pPr>
            <w:r w:rsidRPr="00F61AD0">
              <w:rPr>
                <w:w w:val="105"/>
                <w:sz w:val="19"/>
                <w:szCs w:val="19"/>
              </w:rPr>
              <w:t>No response</w:t>
            </w:r>
          </w:p>
        </w:tc>
        <w:tc>
          <w:tcPr>
            <w:tcW w:w="524" w:type="pct"/>
            <w:tcBorders>
              <w:bottom w:val="single" w:sz="4" w:space="0" w:color="auto"/>
            </w:tcBorders>
          </w:tcPr>
          <w:p w:rsidR="007C51E8" w:rsidRPr="00F61AD0" w:rsidRDefault="007C51E8" w:rsidP="007C51E8">
            <w:pPr>
              <w:pStyle w:val="TableText"/>
              <w:rPr>
                <w:sz w:val="19"/>
                <w:szCs w:val="19"/>
              </w:rPr>
            </w:pPr>
            <w:r w:rsidRPr="00F61AD0">
              <w:rPr>
                <w:w w:val="105"/>
                <w:sz w:val="19"/>
                <w:szCs w:val="19"/>
              </w:rPr>
              <w:t>10</w:t>
            </w:r>
          </w:p>
        </w:tc>
        <w:tc>
          <w:tcPr>
            <w:tcW w:w="524" w:type="pct"/>
            <w:tcBorders>
              <w:bottom w:val="single" w:sz="4" w:space="0" w:color="auto"/>
            </w:tcBorders>
          </w:tcPr>
          <w:p w:rsidR="007C51E8" w:rsidRPr="00F61AD0" w:rsidRDefault="007C51E8" w:rsidP="007C51E8">
            <w:pPr>
              <w:pStyle w:val="TableText"/>
              <w:rPr>
                <w:sz w:val="19"/>
                <w:szCs w:val="19"/>
              </w:rPr>
            </w:pPr>
            <w:r w:rsidRPr="00F61AD0">
              <w:rPr>
                <w:w w:val="105"/>
                <w:sz w:val="19"/>
                <w:szCs w:val="19"/>
              </w:rPr>
              <w:t>2.7</w:t>
            </w:r>
          </w:p>
        </w:tc>
        <w:tc>
          <w:tcPr>
            <w:tcW w:w="524" w:type="pct"/>
            <w:tcBorders>
              <w:bottom w:val="single" w:sz="4" w:space="0" w:color="auto"/>
            </w:tcBorders>
          </w:tcPr>
          <w:p w:rsidR="007C51E8" w:rsidRPr="00F61AD0" w:rsidRDefault="007C51E8" w:rsidP="007C51E8">
            <w:pPr>
              <w:pStyle w:val="TableText"/>
              <w:rPr>
                <w:sz w:val="19"/>
                <w:szCs w:val="19"/>
              </w:rPr>
            </w:pPr>
            <w:r w:rsidRPr="00F61AD0">
              <w:rPr>
                <w:w w:val="103"/>
                <w:sz w:val="19"/>
                <w:szCs w:val="19"/>
              </w:rPr>
              <w:t>5</w:t>
            </w:r>
          </w:p>
        </w:tc>
        <w:tc>
          <w:tcPr>
            <w:tcW w:w="524" w:type="pct"/>
            <w:tcBorders>
              <w:bottom w:val="single" w:sz="4" w:space="0" w:color="auto"/>
            </w:tcBorders>
          </w:tcPr>
          <w:p w:rsidR="007C51E8" w:rsidRPr="00F61AD0" w:rsidRDefault="007C51E8" w:rsidP="007C51E8">
            <w:pPr>
              <w:pStyle w:val="TableText"/>
              <w:rPr>
                <w:sz w:val="19"/>
                <w:szCs w:val="19"/>
              </w:rPr>
            </w:pPr>
            <w:r w:rsidRPr="00F61AD0">
              <w:rPr>
                <w:w w:val="105"/>
                <w:sz w:val="19"/>
                <w:szCs w:val="19"/>
              </w:rPr>
              <w:t>2.2</w:t>
            </w:r>
          </w:p>
        </w:tc>
        <w:tc>
          <w:tcPr>
            <w:tcW w:w="524" w:type="pct"/>
            <w:tcBorders>
              <w:bottom w:val="single" w:sz="4" w:space="0" w:color="auto"/>
            </w:tcBorders>
          </w:tcPr>
          <w:p w:rsidR="007C51E8" w:rsidRPr="00F61AD0" w:rsidRDefault="007C51E8" w:rsidP="007C51E8">
            <w:pPr>
              <w:pStyle w:val="TableText"/>
              <w:rPr>
                <w:sz w:val="19"/>
                <w:szCs w:val="19"/>
              </w:rPr>
            </w:pPr>
            <w:r w:rsidRPr="00F61AD0">
              <w:rPr>
                <w:w w:val="103"/>
                <w:sz w:val="19"/>
                <w:szCs w:val="19"/>
              </w:rPr>
              <w:t>2</w:t>
            </w:r>
          </w:p>
        </w:tc>
        <w:tc>
          <w:tcPr>
            <w:tcW w:w="524" w:type="pct"/>
            <w:tcBorders>
              <w:bottom w:val="single" w:sz="4" w:space="0" w:color="auto"/>
            </w:tcBorders>
          </w:tcPr>
          <w:p w:rsidR="007C51E8" w:rsidRPr="00F61AD0" w:rsidRDefault="007C51E8" w:rsidP="007C51E8">
            <w:pPr>
              <w:pStyle w:val="TableText"/>
              <w:rPr>
                <w:sz w:val="19"/>
                <w:szCs w:val="19"/>
              </w:rPr>
            </w:pPr>
            <w:r w:rsidRPr="00F61AD0">
              <w:rPr>
                <w:w w:val="105"/>
                <w:sz w:val="19"/>
                <w:szCs w:val="19"/>
              </w:rPr>
              <w:t>16.7</w:t>
            </w:r>
          </w:p>
        </w:tc>
        <w:tc>
          <w:tcPr>
            <w:tcW w:w="522" w:type="pct"/>
            <w:tcBorders>
              <w:bottom w:val="single" w:sz="4" w:space="0" w:color="auto"/>
            </w:tcBorders>
          </w:tcPr>
          <w:p w:rsidR="007C51E8" w:rsidRPr="00F61AD0" w:rsidRDefault="007C51E8" w:rsidP="007C51E8">
            <w:pPr>
              <w:pStyle w:val="TableText"/>
              <w:rPr>
                <w:sz w:val="19"/>
                <w:szCs w:val="19"/>
              </w:rPr>
            </w:pPr>
            <w:r w:rsidRPr="00F61AD0">
              <w:rPr>
                <w:w w:val="105"/>
                <w:sz w:val="19"/>
                <w:szCs w:val="19"/>
              </w:rPr>
              <w:t>17</w:t>
            </w:r>
          </w:p>
        </w:tc>
      </w:tr>
      <w:tr w:rsidR="007C51E8" w:rsidRPr="00F61AD0" w:rsidTr="007C51E8">
        <w:tc>
          <w:tcPr>
            <w:tcW w:w="1334" w:type="pct"/>
            <w:tcBorders>
              <w:top w:val="single" w:sz="4" w:space="0" w:color="auto"/>
              <w:left w:val="single" w:sz="4" w:space="0" w:color="auto"/>
              <w:bottom w:val="single" w:sz="4" w:space="0" w:color="auto"/>
              <w:right w:val="nil"/>
            </w:tcBorders>
            <w:shd w:val="clear" w:color="auto" w:fill="F2F2F2" w:themeFill="background1" w:themeFillShade="F2"/>
          </w:tcPr>
          <w:p w:rsidR="007C51E8" w:rsidRPr="00F61AD0" w:rsidRDefault="007C51E8" w:rsidP="007C51E8">
            <w:pPr>
              <w:pStyle w:val="TableText"/>
              <w:rPr>
                <w:b/>
                <w:sz w:val="19"/>
                <w:szCs w:val="19"/>
              </w:rPr>
            </w:pPr>
            <w:r w:rsidRPr="00F61AD0">
              <w:rPr>
                <w:b/>
                <w:w w:val="105"/>
                <w:sz w:val="19"/>
                <w:szCs w:val="19"/>
              </w:rPr>
              <w:t>Program level</w:t>
            </w:r>
          </w:p>
        </w:tc>
        <w:tc>
          <w:tcPr>
            <w:tcW w:w="524" w:type="pct"/>
            <w:tcBorders>
              <w:top w:val="single" w:sz="4" w:space="0" w:color="auto"/>
              <w:left w:val="nil"/>
              <w:bottom w:val="single" w:sz="4" w:space="0" w:color="auto"/>
              <w:right w:val="nil"/>
            </w:tcBorders>
            <w:shd w:val="clear" w:color="auto" w:fill="F2F2F2" w:themeFill="background1" w:themeFillShade="F2"/>
          </w:tcPr>
          <w:p w:rsidR="007C51E8" w:rsidRPr="00F61AD0" w:rsidRDefault="007C51E8" w:rsidP="007C51E8">
            <w:pPr>
              <w:pStyle w:val="TableText"/>
              <w:rPr>
                <w:rFonts w:ascii="Times New Roman"/>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7C51E8" w:rsidRPr="00F61AD0" w:rsidRDefault="007C51E8" w:rsidP="007C51E8">
            <w:pPr>
              <w:pStyle w:val="TableText"/>
              <w:rPr>
                <w:rFonts w:ascii="Times New Roman"/>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7C51E8" w:rsidRPr="00F61AD0" w:rsidRDefault="007C51E8" w:rsidP="007C51E8">
            <w:pPr>
              <w:pStyle w:val="TableText"/>
              <w:rPr>
                <w:rFonts w:ascii="Times New Roman"/>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7C51E8" w:rsidRPr="00F61AD0" w:rsidRDefault="007C51E8" w:rsidP="007C51E8">
            <w:pPr>
              <w:pStyle w:val="TableText"/>
              <w:rPr>
                <w:rFonts w:ascii="Times New Roman"/>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7C51E8" w:rsidRPr="00F61AD0" w:rsidRDefault="007C51E8" w:rsidP="007C51E8">
            <w:pPr>
              <w:pStyle w:val="TableText"/>
              <w:rPr>
                <w:rFonts w:ascii="Times New Roman"/>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7C51E8" w:rsidRPr="00F61AD0" w:rsidRDefault="007C51E8" w:rsidP="007C51E8">
            <w:pPr>
              <w:pStyle w:val="TableText"/>
              <w:rPr>
                <w:rFonts w:ascii="Times New Roman"/>
                <w:sz w:val="19"/>
                <w:szCs w:val="19"/>
              </w:rPr>
            </w:pPr>
          </w:p>
        </w:tc>
        <w:tc>
          <w:tcPr>
            <w:tcW w:w="522" w:type="pct"/>
            <w:tcBorders>
              <w:top w:val="single" w:sz="4" w:space="0" w:color="auto"/>
              <w:left w:val="nil"/>
              <w:bottom w:val="single" w:sz="4" w:space="0" w:color="auto"/>
              <w:right w:val="single" w:sz="4" w:space="0" w:color="auto"/>
            </w:tcBorders>
            <w:shd w:val="clear" w:color="auto" w:fill="F2F2F2" w:themeFill="background1" w:themeFillShade="F2"/>
          </w:tcPr>
          <w:p w:rsidR="007C51E8" w:rsidRPr="00F61AD0" w:rsidRDefault="007C51E8" w:rsidP="007C51E8">
            <w:pPr>
              <w:pStyle w:val="TableText"/>
              <w:rPr>
                <w:rFonts w:ascii="Times New Roman"/>
                <w:sz w:val="19"/>
                <w:szCs w:val="19"/>
              </w:rPr>
            </w:pPr>
          </w:p>
        </w:tc>
      </w:tr>
      <w:tr w:rsidR="007C51E8" w:rsidRPr="00F61AD0" w:rsidTr="007C51E8">
        <w:tc>
          <w:tcPr>
            <w:tcW w:w="1334" w:type="pct"/>
            <w:tcBorders>
              <w:top w:val="single" w:sz="4" w:space="0" w:color="auto"/>
            </w:tcBorders>
          </w:tcPr>
          <w:p w:rsidR="007C51E8" w:rsidRPr="00F61AD0" w:rsidRDefault="007C51E8" w:rsidP="007C51E8">
            <w:pPr>
              <w:pStyle w:val="TableText"/>
              <w:rPr>
                <w:sz w:val="19"/>
                <w:szCs w:val="19"/>
              </w:rPr>
            </w:pPr>
            <w:r w:rsidRPr="00F61AD0">
              <w:rPr>
                <w:w w:val="105"/>
                <w:sz w:val="19"/>
                <w:szCs w:val="19"/>
              </w:rPr>
              <w:t>Undergraduate</w:t>
            </w:r>
          </w:p>
        </w:tc>
        <w:tc>
          <w:tcPr>
            <w:tcW w:w="524" w:type="pct"/>
            <w:tcBorders>
              <w:top w:val="single" w:sz="4" w:space="0" w:color="auto"/>
            </w:tcBorders>
          </w:tcPr>
          <w:p w:rsidR="007C51E8" w:rsidRPr="00F61AD0" w:rsidRDefault="007C51E8" w:rsidP="007C51E8">
            <w:pPr>
              <w:pStyle w:val="TableText"/>
              <w:rPr>
                <w:sz w:val="19"/>
                <w:szCs w:val="19"/>
              </w:rPr>
            </w:pPr>
            <w:r w:rsidRPr="00F61AD0">
              <w:rPr>
                <w:w w:val="105"/>
                <w:sz w:val="19"/>
                <w:szCs w:val="19"/>
              </w:rPr>
              <w:t>343</w:t>
            </w:r>
          </w:p>
        </w:tc>
        <w:tc>
          <w:tcPr>
            <w:tcW w:w="524" w:type="pct"/>
            <w:tcBorders>
              <w:top w:val="single" w:sz="4" w:space="0" w:color="auto"/>
            </w:tcBorders>
          </w:tcPr>
          <w:p w:rsidR="007C51E8" w:rsidRPr="00F61AD0" w:rsidRDefault="007C51E8" w:rsidP="007C51E8">
            <w:pPr>
              <w:pStyle w:val="TableText"/>
              <w:rPr>
                <w:sz w:val="19"/>
                <w:szCs w:val="19"/>
              </w:rPr>
            </w:pPr>
            <w:r w:rsidRPr="00F61AD0">
              <w:rPr>
                <w:w w:val="105"/>
                <w:sz w:val="19"/>
                <w:szCs w:val="19"/>
              </w:rPr>
              <w:t>94.3</w:t>
            </w:r>
          </w:p>
        </w:tc>
        <w:tc>
          <w:tcPr>
            <w:tcW w:w="524" w:type="pct"/>
            <w:tcBorders>
              <w:top w:val="single" w:sz="4" w:space="0" w:color="auto"/>
            </w:tcBorders>
          </w:tcPr>
          <w:p w:rsidR="007C51E8" w:rsidRPr="00F61AD0" w:rsidRDefault="007C51E8" w:rsidP="007C51E8">
            <w:pPr>
              <w:pStyle w:val="TableText"/>
              <w:rPr>
                <w:sz w:val="19"/>
                <w:szCs w:val="19"/>
              </w:rPr>
            </w:pPr>
            <w:r w:rsidRPr="00F61AD0">
              <w:rPr>
                <w:w w:val="105"/>
                <w:sz w:val="19"/>
                <w:szCs w:val="19"/>
              </w:rPr>
              <w:t>174</w:t>
            </w:r>
          </w:p>
        </w:tc>
        <w:tc>
          <w:tcPr>
            <w:tcW w:w="524" w:type="pct"/>
            <w:tcBorders>
              <w:top w:val="single" w:sz="4" w:space="0" w:color="auto"/>
            </w:tcBorders>
          </w:tcPr>
          <w:p w:rsidR="007C51E8" w:rsidRPr="00F61AD0" w:rsidRDefault="007C51E8" w:rsidP="007C51E8">
            <w:pPr>
              <w:pStyle w:val="TableText"/>
              <w:rPr>
                <w:sz w:val="19"/>
                <w:szCs w:val="19"/>
              </w:rPr>
            </w:pPr>
            <w:r w:rsidRPr="00F61AD0">
              <w:rPr>
                <w:w w:val="105"/>
                <w:sz w:val="19"/>
                <w:szCs w:val="19"/>
              </w:rPr>
              <w:t>75.3</w:t>
            </w:r>
          </w:p>
        </w:tc>
        <w:tc>
          <w:tcPr>
            <w:tcW w:w="524" w:type="pct"/>
            <w:tcBorders>
              <w:top w:val="single" w:sz="4" w:space="0" w:color="auto"/>
            </w:tcBorders>
          </w:tcPr>
          <w:p w:rsidR="007C51E8" w:rsidRPr="00F61AD0" w:rsidRDefault="007C51E8" w:rsidP="007C51E8">
            <w:pPr>
              <w:pStyle w:val="TableText"/>
              <w:rPr>
                <w:sz w:val="19"/>
                <w:szCs w:val="19"/>
              </w:rPr>
            </w:pPr>
            <w:r w:rsidRPr="00F61AD0">
              <w:rPr>
                <w:w w:val="103"/>
                <w:sz w:val="19"/>
                <w:szCs w:val="19"/>
              </w:rPr>
              <w:t>9</w:t>
            </w:r>
          </w:p>
        </w:tc>
        <w:tc>
          <w:tcPr>
            <w:tcW w:w="524" w:type="pct"/>
            <w:tcBorders>
              <w:top w:val="single" w:sz="4" w:space="0" w:color="auto"/>
            </w:tcBorders>
          </w:tcPr>
          <w:p w:rsidR="007C51E8" w:rsidRPr="00F61AD0" w:rsidRDefault="007C51E8" w:rsidP="007C51E8">
            <w:pPr>
              <w:pStyle w:val="TableText"/>
              <w:rPr>
                <w:sz w:val="19"/>
                <w:szCs w:val="19"/>
              </w:rPr>
            </w:pPr>
            <w:r w:rsidRPr="00F61AD0">
              <w:rPr>
                <w:w w:val="105"/>
                <w:sz w:val="19"/>
                <w:szCs w:val="19"/>
              </w:rPr>
              <w:t>75.0</w:t>
            </w:r>
          </w:p>
        </w:tc>
        <w:tc>
          <w:tcPr>
            <w:tcW w:w="522" w:type="pct"/>
            <w:tcBorders>
              <w:top w:val="single" w:sz="4" w:space="0" w:color="auto"/>
            </w:tcBorders>
          </w:tcPr>
          <w:p w:rsidR="007C51E8" w:rsidRPr="00F61AD0" w:rsidRDefault="007C51E8" w:rsidP="007C51E8">
            <w:pPr>
              <w:pStyle w:val="TableText"/>
              <w:rPr>
                <w:sz w:val="19"/>
                <w:szCs w:val="19"/>
              </w:rPr>
            </w:pPr>
            <w:r w:rsidRPr="00F61AD0">
              <w:rPr>
                <w:w w:val="105"/>
                <w:sz w:val="19"/>
                <w:szCs w:val="19"/>
              </w:rPr>
              <w:t>526</w:t>
            </w:r>
          </w:p>
        </w:tc>
      </w:tr>
      <w:tr w:rsidR="007C51E8" w:rsidRPr="00F61AD0" w:rsidTr="007C51E8">
        <w:tc>
          <w:tcPr>
            <w:tcW w:w="1334" w:type="pct"/>
            <w:tcBorders>
              <w:bottom w:val="single" w:sz="4" w:space="0" w:color="auto"/>
            </w:tcBorders>
          </w:tcPr>
          <w:p w:rsidR="007C51E8" w:rsidRPr="00F61AD0" w:rsidRDefault="007C51E8" w:rsidP="007C51E8">
            <w:pPr>
              <w:pStyle w:val="TableText"/>
              <w:rPr>
                <w:sz w:val="19"/>
                <w:szCs w:val="19"/>
              </w:rPr>
            </w:pPr>
            <w:r w:rsidRPr="00F61AD0">
              <w:rPr>
                <w:w w:val="105"/>
                <w:sz w:val="19"/>
                <w:szCs w:val="19"/>
              </w:rPr>
              <w:t>Postgraduate coursework</w:t>
            </w:r>
          </w:p>
        </w:tc>
        <w:tc>
          <w:tcPr>
            <w:tcW w:w="524" w:type="pct"/>
            <w:tcBorders>
              <w:bottom w:val="single" w:sz="4" w:space="0" w:color="auto"/>
            </w:tcBorders>
          </w:tcPr>
          <w:p w:rsidR="007C51E8" w:rsidRPr="00F61AD0" w:rsidRDefault="007C51E8" w:rsidP="007C51E8">
            <w:pPr>
              <w:pStyle w:val="TableText"/>
              <w:rPr>
                <w:sz w:val="19"/>
                <w:szCs w:val="19"/>
              </w:rPr>
            </w:pPr>
            <w:r w:rsidRPr="00F61AD0">
              <w:rPr>
                <w:w w:val="103"/>
                <w:sz w:val="19"/>
                <w:szCs w:val="19"/>
              </w:rPr>
              <w:t>8</w:t>
            </w:r>
          </w:p>
        </w:tc>
        <w:tc>
          <w:tcPr>
            <w:tcW w:w="524" w:type="pct"/>
            <w:tcBorders>
              <w:bottom w:val="single" w:sz="4" w:space="0" w:color="auto"/>
            </w:tcBorders>
          </w:tcPr>
          <w:p w:rsidR="007C51E8" w:rsidRPr="00F61AD0" w:rsidRDefault="007C51E8" w:rsidP="007C51E8">
            <w:pPr>
              <w:pStyle w:val="TableText"/>
              <w:rPr>
                <w:sz w:val="19"/>
                <w:szCs w:val="19"/>
              </w:rPr>
            </w:pPr>
            <w:r w:rsidRPr="00F61AD0">
              <w:rPr>
                <w:w w:val="105"/>
                <w:sz w:val="19"/>
                <w:szCs w:val="19"/>
              </w:rPr>
              <w:t>2.1</w:t>
            </w:r>
          </w:p>
        </w:tc>
        <w:tc>
          <w:tcPr>
            <w:tcW w:w="524" w:type="pct"/>
            <w:tcBorders>
              <w:bottom w:val="single" w:sz="4" w:space="0" w:color="auto"/>
            </w:tcBorders>
          </w:tcPr>
          <w:p w:rsidR="007C51E8" w:rsidRPr="00F61AD0" w:rsidRDefault="007C51E8" w:rsidP="007C51E8">
            <w:pPr>
              <w:pStyle w:val="TableText"/>
              <w:rPr>
                <w:sz w:val="19"/>
                <w:szCs w:val="19"/>
              </w:rPr>
            </w:pPr>
            <w:r w:rsidRPr="00F61AD0">
              <w:rPr>
                <w:w w:val="105"/>
                <w:sz w:val="19"/>
                <w:szCs w:val="19"/>
              </w:rPr>
              <w:t>35</w:t>
            </w:r>
          </w:p>
        </w:tc>
        <w:tc>
          <w:tcPr>
            <w:tcW w:w="524" w:type="pct"/>
            <w:tcBorders>
              <w:bottom w:val="single" w:sz="4" w:space="0" w:color="auto"/>
            </w:tcBorders>
          </w:tcPr>
          <w:p w:rsidR="007C51E8" w:rsidRPr="00F61AD0" w:rsidRDefault="007C51E8" w:rsidP="007C51E8">
            <w:pPr>
              <w:pStyle w:val="TableText"/>
              <w:rPr>
                <w:sz w:val="19"/>
                <w:szCs w:val="19"/>
              </w:rPr>
            </w:pPr>
            <w:r w:rsidRPr="00F61AD0">
              <w:rPr>
                <w:w w:val="105"/>
                <w:sz w:val="19"/>
                <w:szCs w:val="19"/>
              </w:rPr>
              <w:t>15.2</w:t>
            </w:r>
          </w:p>
        </w:tc>
        <w:tc>
          <w:tcPr>
            <w:tcW w:w="524" w:type="pct"/>
            <w:tcBorders>
              <w:bottom w:val="single" w:sz="4" w:space="0" w:color="auto"/>
            </w:tcBorders>
          </w:tcPr>
          <w:p w:rsidR="007C51E8" w:rsidRPr="00F61AD0" w:rsidRDefault="007C51E8" w:rsidP="007C51E8">
            <w:pPr>
              <w:pStyle w:val="TableText"/>
              <w:rPr>
                <w:sz w:val="19"/>
                <w:szCs w:val="19"/>
              </w:rPr>
            </w:pPr>
            <w:r w:rsidRPr="00F61AD0">
              <w:rPr>
                <w:w w:val="103"/>
                <w:sz w:val="19"/>
                <w:szCs w:val="19"/>
              </w:rPr>
              <w:t>1</w:t>
            </w:r>
          </w:p>
        </w:tc>
        <w:tc>
          <w:tcPr>
            <w:tcW w:w="524" w:type="pct"/>
            <w:tcBorders>
              <w:bottom w:val="single" w:sz="4" w:space="0" w:color="auto"/>
            </w:tcBorders>
          </w:tcPr>
          <w:p w:rsidR="007C51E8" w:rsidRPr="00F61AD0" w:rsidRDefault="007C51E8" w:rsidP="007C51E8">
            <w:pPr>
              <w:pStyle w:val="TableText"/>
              <w:rPr>
                <w:sz w:val="19"/>
                <w:szCs w:val="19"/>
              </w:rPr>
            </w:pPr>
            <w:r w:rsidRPr="00F61AD0">
              <w:rPr>
                <w:w w:val="105"/>
                <w:sz w:val="19"/>
                <w:szCs w:val="19"/>
              </w:rPr>
              <w:t>8.3</w:t>
            </w:r>
          </w:p>
        </w:tc>
        <w:tc>
          <w:tcPr>
            <w:tcW w:w="522" w:type="pct"/>
            <w:tcBorders>
              <w:bottom w:val="single" w:sz="4" w:space="0" w:color="auto"/>
            </w:tcBorders>
          </w:tcPr>
          <w:p w:rsidR="007C51E8" w:rsidRPr="00F61AD0" w:rsidRDefault="007C51E8" w:rsidP="007C51E8">
            <w:pPr>
              <w:pStyle w:val="TableText"/>
              <w:rPr>
                <w:sz w:val="19"/>
                <w:szCs w:val="19"/>
              </w:rPr>
            </w:pPr>
            <w:r w:rsidRPr="00F61AD0">
              <w:rPr>
                <w:w w:val="105"/>
                <w:sz w:val="19"/>
                <w:szCs w:val="19"/>
              </w:rPr>
              <w:t>44</w:t>
            </w:r>
          </w:p>
        </w:tc>
      </w:tr>
      <w:tr w:rsidR="007C51E8" w:rsidRPr="00F61AD0" w:rsidTr="007C51E8">
        <w:tc>
          <w:tcPr>
            <w:tcW w:w="1334" w:type="pct"/>
            <w:tcBorders>
              <w:bottom w:val="single" w:sz="4" w:space="0" w:color="auto"/>
            </w:tcBorders>
          </w:tcPr>
          <w:p w:rsidR="007C51E8" w:rsidRPr="00F61AD0" w:rsidRDefault="007C51E8" w:rsidP="007C51E8">
            <w:pPr>
              <w:pStyle w:val="TableText"/>
              <w:rPr>
                <w:w w:val="105"/>
                <w:sz w:val="19"/>
                <w:szCs w:val="19"/>
              </w:rPr>
            </w:pPr>
            <w:r w:rsidRPr="00F61AD0">
              <w:rPr>
                <w:w w:val="105"/>
                <w:sz w:val="19"/>
                <w:szCs w:val="19"/>
              </w:rPr>
              <w:t>Postgraduate research</w:t>
            </w:r>
          </w:p>
        </w:tc>
        <w:tc>
          <w:tcPr>
            <w:tcW w:w="524" w:type="pct"/>
            <w:tcBorders>
              <w:bottom w:val="single" w:sz="4" w:space="0" w:color="auto"/>
            </w:tcBorders>
          </w:tcPr>
          <w:p w:rsidR="007C51E8" w:rsidRPr="00F61AD0" w:rsidRDefault="007C51E8" w:rsidP="007C51E8">
            <w:pPr>
              <w:pStyle w:val="TableText"/>
              <w:rPr>
                <w:sz w:val="19"/>
                <w:szCs w:val="19"/>
              </w:rPr>
            </w:pPr>
            <w:r w:rsidRPr="00F61AD0">
              <w:rPr>
                <w:w w:val="103"/>
                <w:sz w:val="19"/>
                <w:szCs w:val="19"/>
              </w:rPr>
              <w:t>0</w:t>
            </w:r>
          </w:p>
        </w:tc>
        <w:tc>
          <w:tcPr>
            <w:tcW w:w="524" w:type="pct"/>
            <w:tcBorders>
              <w:bottom w:val="single" w:sz="4" w:space="0" w:color="auto"/>
            </w:tcBorders>
          </w:tcPr>
          <w:p w:rsidR="007C51E8" w:rsidRPr="00F61AD0" w:rsidRDefault="007C51E8" w:rsidP="007C51E8">
            <w:pPr>
              <w:pStyle w:val="TableText"/>
              <w:rPr>
                <w:sz w:val="19"/>
                <w:szCs w:val="19"/>
              </w:rPr>
            </w:pPr>
            <w:r w:rsidRPr="00F61AD0">
              <w:rPr>
                <w:w w:val="105"/>
                <w:sz w:val="19"/>
                <w:szCs w:val="19"/>
              </w:rPr>
              <w:t>0.0</w:t>
            </w:r>
          </w:p>
        </w:tc>
        <w:tc>
          <w:tcPr>
            <w:tcW w:w="524" w:type="pct"/>
            <w:tcBorders>
              <w:bottom w:val="single" w:sz="4" w:space="0" w:color="auto"/>
            </w:tcBorders>
          </w:tcPr>
          <w:p w:rsidR="007C51E8" w:rsidRPr="00F61AD0" w:rsidRDefault="007C51E8" w:rsidP="007C51E8">
            <w:pPr>
              <w:pStyle w:val="TableText"/>
              <w:rPr>
                <w:sz w:val="19"/>
                <w:szCs w:val="19"/>
              </w:rPr>
            </w:pPr>
            <w:r w:rsidRPr="00F61AD0">
              <w:rPr>
                <w:w w:val="103"/>
                <w:sz w:val="19"/>
                <w:szCs w:val="19"/>
              </w:rPr>
              <w:t>7</w:t>
            </w:r>
          </w:p>
        </w:tc>
        <w:tc>
          <w:tcPr>
            <w:tcW w:w="524" w:type="pct"/>
            <w:tcBorders>
              <w:bottom w:val="single" w:sz="4" w:space="0" w:color="auto"/>
            </w:tcBorders>
          </w:tcPr>
          <w:p w:rsidR="007C51E8" w:rsidRPr="00F61AD0" w:rsidRDefault="007C51E8" w:rsidP="007C51E8">
            <w:pPr>
              <w:pStyle w:val="TableText"/>
              <w:rPr>
                <w:sz w:val="19"/>
                <w:szCs w:val="19"/>
              </w:rPr>
            </w:pPr>
            <w:r w:rsidRPr="00F61AD0">
              <w:rPr>
                <w:w w:val="105"/>
                <w:sz w:val="19"/>
                <w:szCs w:val="19"/>
              </w:rPr>
              <w:t>3.1</w:t>
            </w:r>
          </w:p>
        </w:tc>
        <w:tc>
          <w:tcPr>
            <w:tcW w:w="524" w:type="pct"/>
            <w:tcBorders>
              <w:bottom w:val="single" w:sz="4" w:space="0" w:color="auto"/>
            </w:tcBorders>
          </w:tcPr>
          <w:p w:rsidR="007C51E8" w:rsidRPr="00F61AD0" w:rsidRDefault="007C51E8" w:rsidP="007C51E8">
            <w:pPr>
              <w:pStyle w:val="TableText"/>
              <w:rPr>
                <w:sz w:val="19"/>
                <w:szCs w:val="19"/>
              </w:rPr>
            </w:pPr>
            <w:r w:rsidRPr="00F61AD0">
              <w:rPr>
                <w:w w:val="103"/>
                <w:sz w:val="19"/>
                <w:szCs w:val="19"/>
              </w:rPr>
              <w:t>0</w:t>
            </w:r>
          </w:p>
        </w:tc>
        <w:tc>
          <w:tcPr>
            <w:tcW w:w="524" w:type="pct"/>
            <w:tcBorders>
              <w:bottom w:val="single" w:sz="4" w:space="0" w:color="auto"/>
            </w:tcBorders>
          </w:tcPr>
          <w:p w:rsidR="007C51E8" w:rsidRPr="00F61AD0" w:rsidRDefault="007C51E8" w:rsidP="007C51E8">
            <w:pPr>
              <w:pStyle w:val="TableText"/>
              <w:rPr>
                <w:sz w:val="19"/>
                <w:szCs w:val="19"/>
              </w:rPr>
            </w:pPr>
            <w:r w:rsidRPr="00F61AD0">
              <w:rPr>
                <w:w w:val="105"/>
                <w:sz w:val="19"/>
                <w:szCs w:val="19"/>
              </w:rPr>
              <w:t>0.0</w:t>
            </w:r>
          </w:p>
        </w:tc>
        <w:tc>
          <w:tcPr>
            <w:tcW w:w="522" w:type="pct"/>
            <w:tcBorders>
              <w:bottom w:val="single" w:sz="4" w:space="0" w:color="auto"/>
            </w:tcBorders>
          </w:tcPr>
          <w:p w:rsidR="007C51E8" w:rsidRPr="00F61AD0" w:rsidRDefault="007C51E8" w:rsidP="007C51E8">
            <w:pPr>
              <w:pStyle w:val="TableText"/>
              <w:rPr>
                <w:sz w:val="19"/>
                <w:szCs w:val="19"/>
              </w:rPr>
            </w:pPr>
            <w:r w:rsidRPr="00F61AD0">
              <w:rPr>
                <w:w w:val="103"/>
                <w:sz w:val="19"/>
                <w:szCs w:val="19"/>
              </w:rPr>
              <w:t>7</w:t>
            </w:r>
          </w:p>
        </w:tc>
      </w:tr>
      <w:tr w:rsidR="007C51E8" w:rsidRPr="00F61AD0" w:rsidTr="007C51E8">
        <w:tc>
          <w:tcPr>
            <w:tcW w:w="1334" w:type="pct"/>
            <w:tcBorders>
              <w:bottom w:val="single" w:sz="4" w:space="0" w:color="auto"/>
            </w:tcBorders>
          </w:tcPr>
          <w:p w:rsidR="007C51E8" w:rsidRPr="00F61AD0" w:rsidRDefault="007C51E8" w:rsidP="007C51E8">
            <w:pPr>
              <w:pStyle w:val="TableText"/>
              <w:rPr>
                <w:w w:val="105"/>
                <w:sz w:val="19"/>
                <w:szCs w:val="19"/>
              </w:rPr>
            </w:pPr>
            <w:r w:rsidRPr="00F61AD0">
              <w:rPr>
                <w:w w:val="105"/>
                <w:sz w:val="19"/>
                <w:szCs w:val="19"/>
              </w:rPr>
              <w:t>Other award</w:t>
            </w:r>
          </w:p>
        </w:tc>
        <w:tc>
          <w:tcPr>
            <w:tcW w:w="524" w:type="pct"/>
            <w:tcBorders>
              <w:bottom w:val="single" w:sz="4" w:space="0" w:color="auto"/>
            </w:tcBorders>
          </w:tcPr>
          <w:p w:rsidR="007C51E8" w:rsidRPr="00F61AD0" w:rsidRDefault="007C51E8" w:rsidP="007C51E8">
            <w:pPr>
              <w:pStyle w:val="TableText"/>
              <w:rPr>
                <w:sz w:val="19"/>
                <w:szCs w:val="19"/>
              </w:rPr>
            </w:pPr>
            <w:r w:rsidRPr="00F61AD0">
              <w:rPr>
                <w:w w:val="105"/>
                <w:sz w:val="19"/>
                <w:szCs w:val="19"/>
              </w:rPr>
              <w:t>11</w:t>
            </w:r>
          </w:p>
        </w:tc>
        <w:tc>
          <w:tcPr>
            <w:tcW w:w="524" w:type="pct"/>
            <w:tcBorders>
              <w:bottom w:val="single" w:sz="4" w:space="0" w:color="auto"/>
            </w:tcBorders>
          </w:tcPr>
          <w:p w:rsidR="007C51E8" w:rsidRPr="00F61AD0" w:rsidRDefault="007C51E8" w:rsidP="007C51E8">
            <w:pPr>
              <w:pStyle w:val="TableText"/>
              <w:rPr>
                <w:sz w:val="19"/>
                <w:szCs w:val="19"/>
              </w:rPr>
            </w:pPr>
            <w:r w:rsidRPr="00F61AD0">
              <w:rPr>
                <w:w w:val="105"/>
                <w:sz w:val="19"/>
                <w:szCs w:val="19"/>
              </w:rPr>
              <w:t>3.0</w:t>
            </w:r>
          </w:p>
        </w:tc>
        <w:tc>
          <w:tcPr>
            <w:tcW w:w="524" w:type="pct"/>
            <w:tcBorders>
              <w:bottom w:val="single" w:sz="4" w:space="0" w:color="auto"/>
            </w:tcBorders>
          </w:tcPr>
          <w:p w:rsidR="007C51E8" w:rsidRPr="00F61AD0" w:rsidRDefault="007C51E8" w:rsidP="007C51E8">
            <w:pPr>
              <w:pStyle w:val="TableText"/>
              <w:rPr>
                <w:sz w:val="19"/>
                <w:szCs w:val="19"/>
              </w:rPr>
            </w:pPr>
            <w:r w:rsidRPr="00F61AD0">
              <w:rPr>
                <w:w w:val="105"/>
                <w:sz w:val="19"/>
                <w:szCs w:val="19"/>
              </w:rPr>
              <w:t>10</w:t>
            </w:r>
          </w:p>
        </w:tc>
        <w:tc>
          <w:tcPr>
            <w:tcW w:w="524" w:type="pct"/>
            <w:tcBorders>
              <w:bottom w:val="single" w:sz="4" w:space="0" w:color="auto"/>
            </w:tcBorders>
          </w:tcPr>
          <w:p w:rsidR="007C51E8" w:rsidRPr="00F61AD0" w:rsidRDefault="007C51E8" w:rsidP="007C51E8">
            <w:pPr>
              <w:pStyle w:val="TableText"/>
              <w:rPr>
                <w:sz w:val="19"/>
                <w:szCs w:val="19"/>
              </w:rPr>
            </w:pPr>
            <w:r w:rsidRPr="00F61AD0">
              <w:rPr>
                <w:w w:val="105"/>
                <w:sz w:val="19"/>
                <w:szCs w:val="19"/>
              </w:rPr>
              <w:t>4.3</w:t>
            </w:r>
          </w:p>
        </w:tc>
        <w:tc>
          <w:tcPr>
            <w:tcW w:w="524" w:type="pct"/>
            <w:tcBorders>
              <w:bottom w:val="single" w:sz="4" w:space="0" w:color="auto"/>
            </w:tcBorders>
          </w:tcPr>
          <w:p w:rsidR="007C51E8" w:rsidRPr="00F61AD0" w:rsidRDefault="007C51E8" w:rsidP="007C51E8">
            <w:pPr>
              <w:pStyle w:val="TableText"/>
              <w:rPr>
                <w:sz w:val="19"/>
                <w:szCs w:val="19"/>
              </w:rPr>
            </w:pPr>
            <w:r w:rsidRPr="00F61AD0">
              <w:rPr>
                <w:w w:val="103"/>
                <w:sz w:val="19"/>
                <w:szCs w:val="19"/>
              </w:rPr>
              <w:t>0</w:t>
            </w:r>
          </w:p>
        </w:tc>
        <w:tc>
          <w:tcPr>
            <w:tcW w:w="524" w:type="pct"/>
            <w:tcBorders>
              <w:bottom w:val="single" w:sz="4" w:space="0" w:color="auto"/>
            </w:tcBorders>
          </w:tcPr>
          <w:p w:rsidR="007C51E8" w:rsidRPr="00F61AD0" w:rsidRDefault="007C51E8" w:rsidP="007C51E8">
            <w:pPr>
              <w:pStyle w:val="TableText"/>
              <w:rPr>
                <w:sz w:val="19"/>
                <w:szCs w:val="19"/>
              </w:rPr>
            </w:pPr>
            <w:r w:rsidRPr="00F61AD0">
              <w:rPr>
                <w:w w:val="105"/>
                <w:sz w:val="19"/>
                <w:szCs w:val="19"/>
              </w:rPr>
              <w:t>0.0</w:t>
            </w:r>
          </w:p>
        </w:tc>
        <w:tc>
          <w:tcPr>
            <w:tcW w:w="522" w:type="pct"/>
            <w:tcBorders>
              <w:bottom w:val="single" w:sz="4" w:space="0" w:color="auto"/>
            </w:tcBorders>
          </w:tcPr>
          <w:p w:rsidR="007C51E8" w:rsidRPr="00F61AD0" w:rsidRDefault="007C51E8" w:rsidP="007C51E8">
            <w:pPr>
              <w:pStyle w:val="TableText"/>
              <w:rPr>
                <w:sz w:val="19"/>
                <w:szCs w:val="19"/>
              </w:rPr>
            </w:pPr>
            <w:r w:rsidRPr="00F61AD0">
              <w:rPr>
                <w:w w:val="105"/>
                <w:sz w:val="19"/>
                <w:szCs w:val="19"/>
              </w:rPr>
              <w:t>21</w:t>
            </w:r>
          </w:p>
        </w:tc>
      </w:tr>
      <w:tr w:rsidR="007C51E8" w:rsidRPr="00F61AD0" w:rsidTr="007C51E8">
        <w:tc>
          <w:tcPr>
            <w:tcW w:w="1334" w:type="pct"/>
            <w:tcBorders>
              <w:bottom w:val="single" w:sz="4" w:space="0" w:color="auto"/>
            </w:tcBorders>
          </w:tcPr>
          <w:p w:rsidR="007C51E8" w:rsidRPr="00F61AD0" w:rsidRDefault="007C51E8" w:rsidP="007C51E8">
            <w:pPr>
              <w:pStyle w:val="TableText"/>
              <w:rPr>
                <w:w w:val="105"/>
                <w:sz w:val="19"/>
                <w:szCs w:val="19"/>
              </w:rPr>
            </w:pPr>
            <w:r w:rsidRPr="00F61AD0">
              <w:rPr>
                <w:w w:val="105"/>
                <w:sz w:val="19"/>
                <w:szCs w:val="19"/>
              </w:rPr>
              <w:t>No response</w:t>
            </w:r>
          </w:p>
        </w:tc>
        <w:tc>
          <w:tcPr>
            <w:tcW w:w="524" w:type="pct"/>
            <w:tcBorders>
              <w:bottom w:val="single" w:sz="4" w:space="0" w:color="auto"/>
            </w:tcBorders>
          </w:tcPr>
          <w:p w:rsidR="007C51E8" w:rsidRPr="00F61AD0" w:rsidRDefault="007C51E8" w:rsidP="007C51E8">
            <w:pPr>
              <w:pStyle w:val="TableText"/>
              <w:rPr>
                <w:sz w:val="19"/>
                <w:szCs w:val="19"/>
              </w:rPr>
            </w:pPr>
            <w:r w:rsidRPr="00F61AD0">
              <w:rPr>
                <w:w w:val="103"/>
                <w:sz w:val="19"/>
                <w:szCs w:val="19"/>
              </w:rPr>
              <w:t>2</w:t>
            </w:r>
          </w:p>
        </w:tc>
        <w:tc>
          <w:tcPr>
            <w:tcW w:w="524" w:type="pct"/>
            <w:tcBorders>
              <w:bottom w:val="single" w:sz="4" w:space="0" w:color="auto"/>
            </w:tcBorders>
          </w:tcPr>
          <w:p w:rsidR="007C51E8" w:rsidRPr="00F61AD0" w:rsidRDefault="007C51E8" w:rsidP="007C51E8">
            <w:pPr>
              <w:pStyle w:val="TableText"/>
              <w:rPr>
                <w:sz w:val="19"/>
                <w:szCs w:val="19"/>
              </w:rPr>
            </w:pPr>
            <w:r w:rsidRPr="00F61AD0">
              <w:rPr>
                <w:w w:val="105"/>
                <w:sz w:val="19"/>
                <w:szCs w:val="19"/>
              </w:rPr>
              <w:t>0.5</w:t>
            </w:r>
          </w:p>
        </w:tc>
        <w:tc>
          <w:tcPr>
            <w:tcW w:w="524" w:type="pct"/>
            <w:tcBorders>
              <w:bottom w:val="single" w:sz="4" w:space="0" w:color="auto"/>
            </w:tcBorders>
          </w:tcPr>
          <w:p w:rsidR="007C51E8" w:rsidRPr="00F61AD0" w:rsidRDefault="007C51E8" w:rsidP="007C51E8">
            <w:pPr>
              <w:pStyle w:val="TableText"/>
              <w:rPr>
                <w:sz w:val="19"/>
                <w:szCs w:val="19"/>
              </w:rPr>
            </w:pPr>
            <w:r w:rsidRPr="00F61AD0">
              <w:rPr>
                <w:w w:val="103"/>
                <w:sz w:val="19"/>
                <w:szCs w:val="19"/>
              </w:rPr>
              <w:t>5</w:t>
            </w:r>
          </w:p>
        </w:tc>
        <w:tc>
          <w:tcPr>
            <w:tcW w:w="524" w:type="pct"/>
            <w:tcBorders>
              <w:bottom w:val="single" w:sz="4" w:space="0" w:color="auto"/>
            </w:tcBorders>
          </w:tcPr>
          <w:p w:rsidR="007C51E8" w:rsidRPr="00F61AD0" w:rsidRDefault="007C51E8" w:rsidP="007C51E8">
            <w:pPr>
              <w:pStyle w:val="TableText"/>
              <w:rPr>
                <w:sz w:val="19"/>
                <w:szCs w:val="19"/>
              </w:rPr>
            </w:pPr>
            <w:r w:rsidRPr="00F61AD0">
              <w:rPr>
                <w:w w:val="105"/>
                <w:sz w:val="19"/>
                <w:szCs w:val="19"/>
              </w:rPr>
              <w:t>2.2</w:t>
            </w:r>
          </w:p>
        </w:tc>
        <w:tc>
          <w:tcPr>
            <w:tcW w:w="524" w:type="pct"/>
            <w:tcBorders>
              <w:bottom w:val="single" w:sz="4" w:space="0" w:color="auto"/>
            </w:tcBorders>
          </w:tcPr>
          <w:p w:rsidR="007C51E8" w:rsidRPr="00F61AD0" w:rsidRDefault="007C51E8" w:rsidP="007C51E8">
            <w:pPr>
              <w:pStyle w:val="TableText"/>
              <w:rPr>
                <w:sz w:val="19"/>
                <w:szCs w:val="19"/>
              </w:rPr>
            </w:pPr>
            <w:r w:rsidRPr="00F61AD0">
              <w:rPr>
                <w:w w:val="103"/>
                <w:sz w:val="19"/>
                <w:szCs w:val="19"/>
              </w:rPr>
              <w:t>2</w:t>
            </w:r>
          </w:p>
        </w:tc>
        <w:tc>
          <w:tcPr>
            <w:tcW w:w="524" w:type="pct"/>
            <w:tcBorders>
              <w:bottom w:val="single" w:sz="4" w:space="0" w:color="auto"/>
            </w:tcBorders>
          </w:tcPr>
          <w:p w:rsidR="007C51E8" w:rsidRPr="00F61AD0" w:rsidRDefault="007C51E8" w:rsidP="007C51E8">
            <w:pPr>
              <w:pStyle w:val="TableText"/>
              <w:rPr>
                <w:sz w:val="19"/>
                <w:szCs w:val="19"/>
              </w:rPr>
            </w:pPr>
            <w:r w:rsidRPr="00F61AD0">
              <w:rPr>
                <w:w w:val="105"/>
                <w:sz w:val="19"/>
                <w:szCs w:val="19"/>
              </w:rPr>
              <w:t>16.7</w:t>
            </w:r>
          </w:p>
        </w:tc>
        <w:tc>
          <w:tcPr>
            <w:tcW w:w="522" w:type="pct"/>
            <w:tcBorders>
              <w:bottom w:val="single" w:sz="4" w:space="0" w:color="auto"/>
            </w:tcBorders>
          </w:tcPr>
          <w:p w:rsidR="007C51E8" w:rsidRPr="00F61AD0" w:rsidRDefault="007C51E8" w:rsidP="007C51E8">
            <w:pPr>
              <w:pStyle w:val="TableText"/>
              <w:rPr>
                <w:sz w:val="19"/>
                <w:szCs w:val="19"/>
              </w:rPr>
            </w:pPr>
            <w:r w:rsidRPr="00F61AD0">
              <w:rPr>
                <w:w w:val="103"/>
                <w:sz w:val="19"/>
                <w:szCs w:val="19"/>
              </w:rPr>
              <w:t>9</w:t>
            </w:r>
          </w:p>
        </w:tc>
      </w:tr>
      <w:tr w:rsidR="007C51E8" w:rsidRPr="00F61AD0" w:rsidTr="007C51E8">
        <w:tc>
          <w:tcPr>
            <w:tcW w:w="1334" w:type="pct"/>
            <w:tcBorders>
              <w:top w:val="single" w:sz="4" w:space="0" w:color="auto"/>
              <w:left w:val="single" w:sz="4" w:space="0" w:color="auto"/>
              <w:bottom w:val="single" w:sz="4" w:space="0" w:color="auto"/>
              <w:right w:val="nil"/>
            </w:tcBorders>
            <w:shd w:val="clear" w:color="auto" w:fill="F2F2F2" w:themeFill="background1" w:themeFillShade="F2"/>
          </w:tcPr>
          <w:p w:rsidR="007C51E8" w:rsidRPr="00F61AD0" w:rsidRDefault="007C51E8" w:rsidP="007C51E8">
            <w:pPr>
              <w:pStyle w:val="TableText"/>
              <w:rPr>
                <w:b/>
                <w:sz w:val="19"/>
                <w:szCs w:val="19"/>
              </w:rPr>
            </w:pPr>
            <w:r w:rsidRPr="00F61AD0">
              <w:rPr>
                <w:b/>
                <w:w w:val="105"/>
                <w:sz w:val="19"/>
                <w:szCs w:val="19"/>
              </w:rPr>
              <w:t>Undergraduate stage</w:t>
            </w:r>
          </w:p>
        </w:tc>
        <w:tc>
          <w:tcPr>
            <w:tcW w:w="524" w:type="pct"/>
            <w:tcBorders>
              <w:top w:val="single" w:sz="4" w:space="0" w:color="auto"/>
              <w:left w:val="nil"/>
              <w:bottom w:val="single" w:sz="4" w:space="0" w:color="auto"/>
              <w:right w:val="nil"/>
            </w:tcBorders>
            <w:shd w:val="clear" w:color="auto" w:fill="F2F2F2" w:themeFill="background1" w:themeFillShade="F2"/>
          </w:tcPr>
          <w:p w:rsidR="007C51E8" w:rsidRPr="00F61AD0" w:rsidRDefault="007C51E8" w:rsidP="007C51E8">
            <w:pPr>
              <w:pStyle w:val="TableText"/>
              <w:rPr>
                <w:rFonts w:ascii="Times New Roman"/>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7C51E8" w:rsidRPr="00F61AD0" w:rsidRDefault="007C51E8" w:rsidP="007C51E8">
            <w:pPr>
              <w:pStyle w:val="TableText"/>
              <w:rPr>
                <w:rFonts w:ascii="Times New Roman"/>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7C51E8" w:rsidRPr="00F61AD0" w:rsidRDefault="007C51E8" w:rsidP="007C51E8">
            <w:pPr>
              <w:pStyle w:val="TableText"/>
              <w:rPr>
                <w:rFonts w:ascii="Times New Roman"/>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7C51E8" w:rsidRPr="00F61AD0" w:rsidRDefault="007C51E8" w:rsidP="007C51E8">
            <w:pPr>
              <w:pStyle w:val="TableText"/>
              <w:rPr>
                <w:rFonts w:ascii="Times New Roman"/>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7C51E8" w:rsidRPr="00F61AD0" w:rsidRDefault="007C51E8" w:rsidP="007C51E8">
            <w:pPr>
              <w:pStyle w:val="TableText"/>
              <w:rPr>
                <w:rFonts w:ascii="Times New Roman"/>
                <w:sz w:val="19"/>
                <w:szCs w:val="19"/>
              </w:rPr>
            </w:pPr>
          </w:p>
        </w:tc>
        <w:tc>
          <w:tcPr>
            <w:tcW w:w="524" w:type="pct"/>
            <w:tcBorders>
              <w:top w:val="single" w:sz="4" w:space="0" w:color="auto"/>
              <w:left w:val="nil"/>
              <w:bottom w:val="single" w:sz="4" w:space="0" w:color="auto"/>
              <w:right w:val="nil"/>
            </w:tcBorders>
            <w:shd w:val="clear" w:color="auto" w:fill="F2F2F2" w:themeFill="background1" w:themeFillShade="F2"/>
          </w:tcPr>
          <w:p w:rsidR="007C51E8" w:rsidRPr="00F61AD0" w:rsidRDefault="007C51E8" w:rsidP="007C51E8">
            <w:pPr>
              <w:pStyle w:val="TableText"/>
              <w:rPr>
                <w:rFonts w:ascii="Times New Roman"/>
                <w:sz w:val="19"/>
                <w:szCs w:val="19"/>
              </w:rPr>
            </w:pPr>
          </w:p>
        </w:tc>
        <w:tc>
          <w:tcPr>
            <w:tcW w:w="522" w:type="pct"/>
            <w:tcBorders>
              <w:top w:val="single" w:sz="4" w:space="0" w:color="auto"/>
              <w:left w:val="nil"/>
              <w:bottom w:val="single" w:sz="4" w:space="0" w:color="auto"/>
              <w:right w:val="single" w:sz="4" w:space="0" w:color="auto"/>
            </w:tcBorders>
            <w:shd w:val="clear" w:color="auto" w:fill="F2F2F2" w:themeFill="background1" w:themeFillShade="F2"/>
          </w:tcPr>
          <w:p w:rsidR="007C51E8" w:rsidRPr="00F61AD0" w:rsidRDefault="007C51E8" w:rsidP="007C51E8">
            <w:pPr>
              <w:pStyle w:val="TableText"/>
              <w:rPr>
                <w:rFonts w:ascii="Times New Roman"/>
                <w:sz w:val="19"/>
                <w:szCs w:val="19"/>
              </w:rPr>
            </w:pPr>
          </w:p>
        </w:tc>
      </w:tr>
      <w:tr w:rsidR="007C51E8" w:rsidRPr="00F61AD0" w:rsidTr="007C51E8">
        <w:tc>
          <w:tcPr>
            <w:tcW w:w="1334" w:type="pct"/>
            <w:tcBorders>
              <w:top w:val="single" w:sz="4" w:space="0" w:color="auto"/>
            </w:tcBorders>
          </w:tcPr>
          <w:p w:rsidR="007C51E8" w:rsidRPr="00F61AD0" w:rsidRDefault="007C51E8" w:rsidP="007C51E8">
            <w:pPr>
              <w:pStyle w:val="TableText"/>
              <w:rPr>
                <w:sz w:val="19"/>
                <w:szCs w:val="19"/>
              </w:rPr>
            </w:pPr>
            <w:r w:rsidRPr="00F61AD0">
              <w:rPr>
                <w:w w:val="105"/>
                <w:sz w:val="19"/>
                <w:szCs w:val="19"/>
              </w:rPr>
              <w:t>Due to commence</w:t>
            </w:r>
          </w:p>
        </w:tc>
        <w:tc>
          <w:tcPr>
            <w:tcW w:w="524" w:type="pct"/>
            <w:tcBorders>
              <w:top w:val="single" w:sz="4" w:space="0" w:color="auto"/>
            </w:tcBorders>
          </w:tcPr>
          <w:p w:rsidR="007C51E8" w:rsidRPr="00F61AD0" w:rsidRDefault="007C51E8" w:rsidP="007C51E8">
            <w:pPr>
              <w:pStyle w:val="TableText"/>
              <w:rPr>
                <w:sz w:val="19"/>
                <w:szCs w:val="19"/>
              </w:rPr>
            </w:pPr>
            <w:r w:rsidRPr="00F61AD0">
              <w:rPr>
                <w:w w:val="103"/>
                <w:sz w:val="19"/>
                <w:szCs w:val="19"/>
              </w:rPr>
              <w:t>4</w:t>
            </w:r>
          </w:p>
        </w:tc>
        <w:tc>
          <w:tcPr>
            <w:tcW w:w="524" w:type="pct"/>
            <w:tcBorders>
              <w:top w:val="single" w:sz="4" w:space="0" w:color="auto"/>
            </w:tcBorders>
          </w:tcPr>
          <w:p w:rsidR="007C51E8" w:rsidRPr="00F61AD0" w:rsidRDefault="007C51E8" w:rsidP="007C51E8">
            <w:pPr>
              <w:pStyle w:val="TableText"/>
              <w:rPr>
                <w:sz w:val="19"/>
                <w:szCs w:val="19"/>
              </w:rPr>
            </w:pPr>
            <w:r w:rsidRPr="00F61AD0">
              <w:rPr>
                <w:w w:val="105"/>
                <w:sz w:val="19"/>
                <w:szCs w:val="19"/>
              </w:rPr>
              <w:t>1.2</w:t>
            </w:r>
          </w:p>
        </w:tc>
        <w:tc>
          <w:tcPr>
            <w:tcW w:w="524" w:type="pct"/>
            <w:tcBorders>
              <w:top w:val="single" w:sz="4" w:space="0" w:color="auto"/>
            </w:tcBorders>
          </w:tcPr>
          <w:p w:rsidR="007C51E8" w:rsidRPr="00F61AD0" w:rsidRDefault="007C51E8" w:rsidP="007C51E8">
            <w:pPr>
              <w:pStyle w:val="TableText"/>
              <w:rPr>
                <w:sz w:val="19"/>
                <w:szCs w:val="19"/>
              </w:rPr>
            </w:pPr>
            <w:r w:rsidRPr="00F61AD0">
              <w:rPr>
                <w:w w:val="103"/>
                <w:sz w:val="19"/>
                <w:szCs w:val="19"/>
              </w:rPr>
              <w:t>0</w:t>
            </w:r>
          </w:p>
        </w:tc>
        <w:tc>
          <w:tcPr>
            <w:tcW w:w="524" w:type="pct"/>
            <w:tcBorders>
              <w:top w:val="single" w:sz="4" w:space="0" w:color="auto"/>
            </w:tcBorders>
          </w:tcPr>
          <w:p w:rsidR="007C51E8" w:rsidRPr="00F61AD0" w:rsidRDefault="007C51E8" w:rsidP="007C51E8">
            <w:pPr>
              <w:pStyle w:val="TableText"/>
              <w:rPr>
                <w:sz w:val="19"/>
                <w:szCs w:val="19"/>
              </w:rPr>
            </w:pPr>
            <w:r w:rsidRPr="00F61AD0">
              <w:rPr>
                <w:w w:val="105"/>
                <w:sz w:val="19"/>
                <w:szCs w:val="19"/>
              </w:rPr>
              <w:t>0.0</w:t>
            </w:r>
          </w:p>
        </w:tc>
        <w:tc>
          <w:tcPr>
            <w:tcW w:w="524" w:type="pct"/>
            <w:tcBorders>
              <w:top w:val="single" w:sz="4" w:space="0" w:color="auto"/>
            </w:tcBorders>
          </w:tcPr>
          <w:p w:rsidR="007C51E8" w:rsidRPr="00F61AD0" w:rsidRDefault="007C51E8" w:rsidP="007C51E8">
            <w:pPr>
              <w:pStyle w:val="TableText"/>
              <w:rPr>
                <w:sz w:val="19"/>
                <w:szCs w:val="19"/>
              </w:rPr>
            </w:pPr>
            <w:r w:rsidRPr="00F61AD0">
              <w:rPr>
                <w:w w:val="103"/>
                <w:sz w:val="19"/>
                <w:szCs w:val="19"/>
              </w:rPr>
              <w:t>0</w:t>
            </w:r>
          </w:p>
        </w:tc>
        <w:tc>
          <w:tcPr>
            <w:tcW w:w="524" w:type="pct"/>
            <w:tcBorders>
              <w:top w:val="single" w:sz="4" w:space="0" w:color="auto"/>
            </w:tcBorders>
          </w:tcPr>
          <w:p w:rsidR="007C51E8" w:rsidRPr="00F61AD0" w:rsidRDefault="007C51E8" w:rsidP="007C51E8">
            <w:pPr>
              <w:pStyle w:val="TableText"/>
              <w:rPr>
                <w:sz w:val="19"/>
                <w:szCs w:val="19"/>
              </w:rPr>
            </w:pPr>
            <w:r w:rsidRPr="00F61AD0">
              <w:rPr>
                <w:w w:val="105"/>
                <w:sz w:val="19"/>
                <w:szCs w:val="19"/>
              </w:rPr>
              <w:t>0.0</w:t>
            </w:r>
          </w:p>
        </w:tc>
        <w:tc>
          <w:tcPr>
            <w:tcW w:w="522" w:type="pct"/>
            <w:tcBorders>
              <w:top w:val="single" w:sz="4" w:space="0" w:color="auto"/>
            </w:tcBorders>
          </w:tcPr>
          <w:p w:rsidR="007C51E8" w:rsidRPr="00F61AD0" w:rsidRDefault="007C51E8" w:rsidP="007C51E8">
            <w:pPr>
              <w:pStyle w:val="TableText"/>
              <w:rPr>
                <w:sz w:val="19"/>
                <w:szCs w:val="19"/>
              </w:rPr>
            </w:pPr>
            <w:r w:rsidRPr="00F61AD0">
              <w:rPr>
                <w:w w:val="103"/>
                <w:sz w:val="19"/>
                <w:szCs w:val="19"/>
              </w:rPr>
              <w:t>4</w:t>
            </w:r>
          </w:p>
        </w:tc>
      </w:tr>
      <w:tr w:rsidR="007C51E8" w:rsidRPr="00F61AD0" w:rsidTr="007C51E8">
        <w:tc>
          <w:tcPr>
            <w:tcW w:w="1334" w:type="pct"/>
          </w:tcPr>
          <w:p w:rsidR="007C51E8" w:rsidRPr="00F61AD0" w:rsidRDefault="007C51E8" w:rsidP="007C51E8">
            <w:pPr>
              <w:pStyle w:val="TableText"/>
              <w:rPr>
                <w:sz w:val="19"/>
                <w:szCs w:val="19"/>
              </w:rPr>
            </w:pPr>
            <w:r w:rsidRPr="00F61AD0">
              <w:rPr>
                <w:w w:val="105"/>
                <w:sz w:val="19"/>
                <w:szCs w:val="19"/>
              </w:rPr>
              <w:t>Commenced</w:t>
            </w:r>
          </w:p>
        </w:tc>
        <w:tc>
          <w:tcPr>
            <w:tcW w:w="524" w:type="pct"/>
          </w:tcPr>
          <w:p w:rsidR="007C51E8" w:rsidRPr="00F61AD0" w:rsidRDefault="007C51E8" w:rsidP="007C51E8">
            <w:pPr>
              <w:pStyle w:val="TableText"/>
              <w:rPr>
                <w:sz w:val="19"/>
                <w:szCs w:val="19"/>
              </w:rPr>
            </w:pPr>
            <w:r w:rsidRPr="00F61AD0">
              <w:rPr>
                <w:w w:val="105"/>
                <w:sz w:val="19"/>
                <w:szCs w:val="19"/>
              </w:rPr>
              <w:t>138</w:t>
            </w:r>
          </w:p>
        </w:tc>
        <w:tc>
          <w:tcPr>
            <w:tcW w:w="524" w:type="pct"/>
          </w:tcPr>
          <w:p w:rsidR="007C51E8" w:rsidRPr="00F61AD0" w:rsidRDefault="007C51E8" w:rsidP="007C51E8">
            <w:pPr>
              <w:pStyle w:val="TableText"/>
              <w:rPr>
                <w:sz w:val="19"/>
                <w:szCs w:val="19"/>
              </w:rPr>
            </w:pPr>
            <w:r w:rsidRPr="00F61AD0">
              <w:rPr>
                <w:w w:val="105"/>
                <w:sz w:val="19"/>
                <w:szCs w:val="19"/>
              </w:rPr>
              <w:t>40.2</w:t>
            </w:r>
          </w:p>
        </w:tc>
        <w:tc>
          <w:tcPr>
            <w:tcW w:w="524" w:type="pct"/>
          </w:tcPr>
          <w:p w:rsidR="007C51E8" w:rsidRPr="00F61AD0" w:rsidRDefault="007C51E8" w:rsidP="007C51E8">
            <w:pPr>
              <w:pStyle w:val="TableText"/>
              <w:rPr>
                <w:sz w:val="19"/>
                <w:szCs w:val="19"/>
              </w:rPr>
            </w:pPr>
            <w:r w:rsidRPr="00F61AD0">
              <w:rPr>
                <w:w w:val="105"/>
                <w:sz w:val="19"/>
                <w:szCs w:val="19"/>
              </w:rPr>
              <w:t>57</w:t>
            </w:r>
          </w:p>
        </w:tc>
        <w:tc>
          <w:tcPr>
            <w:tcW w:w="524" w:type="pct"/>
          </w:tcPr>
          <w:p w:rsidR="007C51E8" w:rsidRPr="00F61AD0" w:rsidRDefault="007C51E8" w:rsidP="007C51E8">
            <w:pPr>
              <w:pStyle w:val="TableText"/>
              <w:rPr>
                <w:sz w:val="19"/>
                <w:szCs w:val="19"/>
              </w:rPr>
            </w:pPr>
            <w:r w:rsidRPr="00F61AD0">
              <w:rPr>
                <w:w w:val="105"/>
                <w:sz w:val="19"/>
                <w:szCs w:val="19"/>
              </w:rPr>
              <w:t>32.8</w:t>
            </w:r>
          </w:p>
        </w:tc>
        <w:tc>
          <w:tcPr>
            <w:tcW w:w="524" w:type="pct"/>
          </w:tcPr>
          <w:p w:rsidR="007C51E8" w:rsidRPr="00F61AD0" w:rsidRDefault="007C51E8" w:rsidP="007C51E8">
            <w:pPr>
              <w:pStyle w:val="TableText"/>
              <w:rPr>
                <w:sz w:val="19"/>
                <w:szCs w:val="19"/>
              </w:rPr>
            </w:pPr>
            <w:r w:rsidRPr="00F61AD0">
              <w:rPr>
                <w:w w:val="103"/>
                <w:sz w:val="19"/>
                <w:szCs w:val="19"/>
              </w:rPr>
              <w:t>4</w:t>
            </w:r>
          </w:p>
        </w:tc>
        <w:tc>
          <w:tcPr>
            <w:tcW w:w="524" w:type="pct"/>
          </w:tcPr>
          <w:p w:rsidR="007C51E8" w:rsidRPr="00F61AD0" w:rsidRDefault="007C51E8" w:rsidP="007C51E8">
            <w:pPr>
              <w:pStyle w:val="TableText"/>
              <w:rPr>
                <w:sz w:val="19"/>
                <w:szCs w:val="19"/>
              </w:rPr>
            </w:pPr>
            <w:r w:rsidRPr="00F61AD0">
              <w:rPr>
                <w:w w:val="105"/>
                <w:sz w:val="19"/>
                <w:szCs w:val="19"/>
              </w:rPr>
              <w:t>44.4</w:t>
            </w:r>
          </w:p>
        </w:tc>
        <w:tc>
          <w:tcPr>
            <w:tcW w:w="522" w:type="pct"/>
          </w:tcPr>
          <w:p w:rsidR="007C51E8" w:rsidRPr="00F61AD0" w:rsidRDefault="007C51E8" w:rsidP="007C51E8">
            <w:pPr>
              <w:pStyle w:val="TableText"/>
              <w:rPr>
                <w:sz w:val="19"/>
                <w:szCs w:val="19"/>
              </w:rPr>
            </w:pPr>
            <w:r w:rsidRPr="00F61AD0">
              <w:rPr>
                <w:w w:val="105"/>
                <w:sz w:val="19"/>
                <w:szCs w:val="19"/>
              </w:rPr>
              <w:t>199</w:t>
            </w:r>
          </w:p>
        </w:tc>
      </w:tr>
      <w:tr w:rsidR="007C51E8" w:rsidRPr="00F61AD0" w:rsidTr="007C51E8">
        <w:tc>
          <w:tcPr>
            <w:tcW w:w="1334" w:type="pct"/>
          </w:tcPr>
          <w:p w:rsidR="007C51E8" w:rsidRPr="00F61AD0" w:rsidRDefault="007C51E8" w:rsidP="007C51E8">
            <w:pPr>
              <w:pStyle w:val="TableText"/>
              <w:rPr>
                <w:sz w:val="19"/>
                <w:szCs w:val="19"/>
              </w:rPr>
            </w:pPr>
            <w:r w:rsidRPr="00F61AD0">
              <w:rPr>
                <w:w w:val="105"/>
                <w:sz w:val="19"/>
                <w:szCs w:val="19"/>
              </w:rPr>
              <w:t>Continuing</w:t>
            </w:r>
          </w:p>
        </w:tc>
        <w:tc>
          <w:tcPr>
            <w:tcW w:w="524" w:type="pct"/>
          </w:tcPr>
          <w:p w:rsidR="007C51E8" w:rsidRPr="00F61AD0" w:rsidRDefault="007C51E8" w:rsidP="007C51E8">
            <w:pPr>
              <w:pStyle w:val="TableText"/>
              <w:rPr>
                <w:sz w:val="19"/>
                <w:szCs w:val="19"/>
              </w:rPr>
            </w:pPr>
            <w:r w:rsidRPr="00F61AD0">
              <w:rPr>
                <w:w w:val="105"/>
                <w:sz w:val="19"/>
                <w:szCs w:val="19"/>
              </w:rPr>
              <w:t>201</w:t>
            </w:r>
          </w:p>
        </w:tc>
        <w:tc>
          <w:tcPr>
            <w:tcW w:w="524" w:type="pct"/>
          </w:tcPr>
          <w:p w:rsidR="007C51E8" w:rsidRPr="00F61AD0" w:rsidRDefault="007C51E8" w:rsidP="007C51E8">
            <w:pPr>
              <w:pStyle w:val="TableText"/>
              <w:rPr>
                <w:sz w:val="19"/>
                <w:szCs w:val="19"/>
              </w:rPr>
            </w:pPr>
            <w:r w:rsidRPr="00F61AD0">
              <w:rPr>
                <w:w w:val="105"/>
                <w:sz w:val="19"/>
                <w:szCs w:val="19"/>
              </w:rPr>
              <w:t>58.6</w:t>
            </w:r>
          </w:p>
        </w:tc>
        <w:tc>
          <w:tcPr>
            <w:tcW w:w="524" w:type="pct"/>
          </w:tcPr>
          <w:p w:rsidR="007C51E8" w:rsidRPr="00F61AD0" w:rsidRDefault="007C51E8" w:rsidP="007C51E8">
            <w:pPr>
              <w:pStyle w:val="TableText"/>
              <w:rPr>
                <w:sz w:val="19"/>
                <w:szCs w:val="19"/>
              </w:rPr>
            </w:pPr>
            <w:r w:rsidRPr="00F61AD0">
              <w:rPr>
                <w:w w:val="105"/>
                <w:sz w:val="19"/>
                <w:szCs w:val="19"/>
              </w:rPr>
              <w:t>117</w:t>
            </w:r>
          </w:p>
        </w:tc>
        <w:tc>
          <w:tcPr>
            <w:tcW w:w="524" w:type="pct"/>
          </w:tcPr>
          <w:p w:rsidR="007C51E8" w:rsidRPr="00F61AD0" w:rsidRDefault="007C51E8" w:rsidP="007C51E8">
            <w:pPr>
              <w:pStyle w:val="TableText"/>
              <w:rPr>
                <w:sz w:val="19"/>
                <w:szCs w:val="19"/>
              </w:rPr>
            </w:pPr>
            <w:r w:rsidRPr="00F61AD0">
              <w:rPr>
                <w:w w:val="105"/>
                <w:sz w:val="19"/>
                <w:szCs w:val="19"/>
              </w:rPr>
              <w:t>67.2</w:t>
            </w:r>
          </w:p>
        </w:tc>
        <w:tc>
          <w:tcPr>
            <w:tcW w:w="524" w:type="pct"/>
          </w:tcPr>
          <w:p w:rsidR="007C51E8" w:rsidRPr="00F61AD0" w:rsidRDefault="007C51E8" w:rsidP="007C51E8">
            <w:pPr>
              <w:pStyle w:val="TableText"/>
              <w:rPr>
                <w:sz w:val="19"/>
                <w:szCs w:val="19"/>
              </w:rPr>
            </w:pPr>
            <w:r w:rsidRPr="00F61AD0">
              <w:rPr>
                <w:w w:val="103"/>
                <w:sz w:val="19"/>
                <w:szCs w:val="19"/>
              </w:rPr>
              <w:t>5</w:t>
            </w:r>
          </w:p>
        </w:tc>
        <w:tc>
          <w:tcPr>
            <w:tcW w:w="524" w:type="pct"/>
          </w:tcPr>
          <w:p w:rsidR="007C51E8" w:rsidRPr="00F61AD0" w:rsidRDefault="007C51E8" w:rsidP="007C51E8">
            <w:pPr>
              <w:pStyle w:val="TableText"/>
              <w:rPr>
                <w:sz w:val="19"/>
                <w:szCs w:val="19"/>
              </w:rPr>
            </w:pPr>
            <w:r w:rsidRPr="00F61AD0">
              <w:rPr>
                <w:w w:val="105"/>
                <w:sz w:val="19"/>
                <w:szCs w:val="19"/>
              </w:rPr>
              <w:t>55.6</w:t>
            </w:r>
          </w:p>
        </w:tc>
        <w:tc>
          <w:tcPr>
            <w:tcW w:w="522" w:type="pct"/>
          </w:tcPr>
          <w:p w:rsidR="007C51E8" w:rsidRPr="00F61AD0" w:rsidRDefault="007C51E8" w:rsidP="007C51E8">
            <w:pPr>
              <w:pStyle w:val="TableText"/>
              <w:rPr>
                <w:sz w:val="19"/>
                <w:szCs w:val="19"/>
              </w:rPr>
            </w:pPr>
            <w:r w:rsidRPr="00F61AD0">
              <w:rPr>
                <w:w w:val="105"/>
                <w:sz w:val="19"/>
                <w:szCs w:val="19"/>
              </w:rPr>
              <w:t>323</w:t>
            </w:r>
          </w:p>
        </w:tc>
      </w:tr>
    </w:tbl>
    <w:p w:rsidR="007C51E8" w:rsidRDefault="007C51E8" w:rsidP="00D91A2F"/>
    <w:p w:rsidR="00857E03" w:rsidRDefault="00857E03" w:rsidP="00D91A2F">
      <w:r w:rsidRPr="00857E03">
        <w:t>Consistent with earlier findings (Harvey &amp; Andrewartha 2013; Heagney 2010), regional and remote students continue to be under-represented at the postgraduate level with 8% of respondents engaged in further degrees. Of the 35 undergraduates interviewed, five (14%) indicated their intention to continue on to postgraduate studies. Despite these indicated</w:t>
      </w:r>
      <w:r w:rsidR="00F61AD0">
        <w:t xml:space="preserve"> </w:t>
      </w:r>
      <w:r w:rsidRPr="00857E03">
        <w:t>intentions, the number of regional students that actually go on to pursue postgraduate studies appears to drop once undergraduate qualifications are completed.</w:t>
      </w:r>
    </w:p>
    <w:p w:rsidR="00857E03" w:rsidRDefault="00857E03" w:rsidP="00D91A2F"/>
    <w:p w:rsidR="003951FC" w:rsidRDefault="003951FC" w:rsidP="003951FC">
      <w:pPr>
        <w:pStyle w:val="TableTitles"/>
      </w:pPr>
      <w:bookmarkStart w:id="27" w:name="_Toc517270497"/>
      <w:r>
        <w:t xml:space="preserve">Table </w:t>
      </w:r>
      <w:fldSimple w:instr=" SEQ Table \* ARABIC ">
        <w:r w:rsidR="00766065">
          <w:rPr>
            <w:noProof/>
          </w:rPr>
          <w:t>3</w:t>
        </w:r>
      </w:fldSimple>
      <w:r>
        <w:t xml:space="preserve">: </w:t>
      </w:r>
      <w:r w:rsidRPr="002E5A3C">
        <w:t>Proportion of respondents based on field of study</w:t>
      </w:r>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1E0" w:firstRow="1" w:lastRow="1" w:firstColumn="1" w:lastColumn="1" w:noHBand="0" w:noVBand="0"/>
        <w:tblCaption w:val="Table 3"/>
        <w:tblDescription w:val="Table displaying the proportion of participants based on field of study, split into: Field of study; Under 25 (n and %); 25+ (n and %); Age not provided (n and %); and Row total."/>
      </w:tblPr>
      <w:tblGrid>
        <w:gridCol w:w="2405"/>
        <w:gridCol w:w="945"/>
        <w:gridCol w:w="945"/>
        <w:gridCol w:w="945"/>
        <w:gridCol w:w="945"/>
        <w:gridCol w:w="945"/>
        <w:gridCol w:w="945"/>
        <w:gridCol w:w="941"/>
      </w:tblGrid>
      <w:tr w:rsidR="00857E03" w:rsidRPr="00F61AD0" w:rsidTr="007D0961">
        <w:trPr>
          <w:tblHeader/>
        </w:trPr>
        <w:tc>
          <w:tcPr>
            <w:tcW w:w="1334" w:type="pct"/>
            <w:tcBorders>
              <w:bottom w:val="single" w:sz="4" w:space="0" w:color="auto"/>
              <w:right w:val="single" w:sz="4" w:space="0" w:color="auto"/>
            </w:tcBorders>
            <w:shd w:val="clear" w:color="auto" w:fill="5B9BD5" w:themeFill="accent1"/>
          </w:tcPr>
          <w:p w:rsidR="00857E03" w:rsidRPr="00F61AD0" w:rsidRDefault="00857E03" w:rsidP="003951FC">
            <w:pPr>
              <w:pStyle w:val="TableText"/>
              <w:rPr>
                <w:b/>
                <w:color w:val="FFFFFF" w:themeColor="background1"/>
                <w:sz w:val="19"/>
                <w:szCs w:val="19"/>
              </w:rPr>
            </w:pPr>
            <w:r w:rsidRPr="00F61AD0">
              <w:rPr>
                <w:b/>
                <w:color w:val="FFFFFF" w:themeColor="background1"/>
                <w:sz w:val="19"/>
                <w:szCs w:val="19"/>
              </w:rPr>
              <w:t>Field of study</w:t>
            </w:r>
          </w:p>
        </w:tc>
        <w:tc>
          <w:tcPr>
            <w:tcW w:w="524" w:type="pct"/>
            <w:tcBorders>
              <w:top w:val="single" w:sz="4" w:space="0" w:color="auto"/>
              <w:left w:val="single" w:sz="4" w:space="0" w:color="auto"/>
              <w:bottom w:val="single" w:sz="4" w:space="0" w:color="auto"/>
              <w:right w:val="nil"/>
            </w:tcBorders>
            <w:shd w:val="clear" w:color="auto" w:fill="5B9BD5" w:themeFill="accent1"/>
          </w:tcPr>
          <w:p w:rsidR="00857E03" w:rsidRPr="00F61AD0" w:rsidRDefault="00857E03" w:rsidP="003951FC">
            <w:pPr>
              <w:pStyle w:val="TableText"/>
              <w:rPr>
                <w:b/>
                <w:color w:val="FFFFFF" w:themeColor="background1"/>
                <w:sz w:val="19"/>
                <w:szCs w:val="19"/>
              </w:rPr>
            </w:pPr>
            <w:r w:rsidRPr="00F61AD0">
              <w:rPr>
                <w:b/>
                <w:color w:val="FFFFFF" w:themeColor="background1"/>
                <w:sz w:val="19"/>
                <w:szCs w:val="19"/>
              </w:rPr>
              <w:t>Under 25</w:t>
            </w:r>
          </w:p>
        </w:tc>
        <w:tc>
          <w:tcPr>
            <w:tcW w:w="524" w:type="pct"/>
            <w:tcBorders>
              <w:top w:val="single" w:sz="4" w:space="0" w:color="auto"/>
              <w:left w:val="nil"/>
              <w:bottom w:val="single" w:sz="4" w:space="0" w:color="auto"/>
              <w:right w:val="single" w:sz="4" w:space="0" w:color="auto"/>
            </w:tcBorders>
            <w:shd w:val="clear" w:color="auto" w:fill="5B9BD5" w:themeFill="accent1"/>
          </w:tcPr>
          <w:p w:rsidR="00857E03" w:rsidRPr="00F61AD0" w:rsidRDefault="00857E03" w:rsidP="003951FC">
            <w:pPr>
              <w:pStyle w:val="TableText"/>
              <w:rPr>
                <w:b/>
                <w:color w:val="FFFFFF" w:themeColor="background1"/>
                <w:sz w:val="19"/>
                <w:szCs w:val="19"/>
              </w:rPr>
            </w:pPr>
          </w:p>
        </w:tc>
        <w:tc>
          <w:tcPr>
            <w:tcW w:w="524" w:type="pct"/>
            <w:tcBorders>
              <w:top w:val="single" w:sz="4" w:space="0" w:color="auto"/>
              <w:left w:val="single" w:sz="4" w:space="0" w:color="auto"/>
              <w:bottom w:val="single" w:sz="4" w:space="0" w:color="auto"/>
              <w:right w:val="nil"/>
            </w:tcBorders>
            <w:shd w:val="clear" w:color="auto" w:fill="5B9BD5" w:themeFill="accent1"/>
          </w:tcPr>
          <w:p w:rsidR="00857E03" w:rsidRPr="00F61AD0" w:rsidRDefault="00857E03" w:rsidP="003951FC">
            <w:pPr>
              <w:pStyle w:val="TableText"/>
              <w:rPr>
                <w:b/>
                <w:color w:val="FFFFFF" w:themeColor="background1"/>
                <w:sz w:val="19"/>
                <w:szCs w:val="19"/>
              </w:rPr>
            </w:pPr>
            <w:r w:rsidRPr="00F61AD0">
              <w:rPr>
                <w:b/>
                <w:color w:val="FFFFFF" w:themeColor="background1"/>
                <w:sz w:val="19"/>
                <w:szCs w:val="19"/>
              </w:rPr>
              <w:t>25+</w:t>
            </w:r>
          </w:p>
        </w:tc>
        <w:tc>
          <w:tcPr>
            <w:tcW w:w="524" w:type="pct"/>
            <w:tcBorders>
              <w:top w:val="single" w:sz="4" w:space="0" w:color="auto"/>
              <w:left w:val="nil"/>
              <w:bottom w:val="single" w:sz="4" w:space="0" w:color="auto"/>
              <w:right w:val="single" w:sz="4" w:space="0" w:color="auto"/>
            </w:tcBorders>
            <w:shd w:val="clear" w:color="auto" w:fill="5B9BD5" w:themeFill="accent1"/>
          </w:tcPr>
          <w:p w:rsidR="00857E03" w:rsidRPr="00F61AD0" w:rsidRDefault="00857E03" w:rsidP="003951FC">
            <w:pPr>
              <w:pStyle w:val="TableText"/>
              <w:rPr>
                <w:b/>
                <w:color w:val="FFFFFF" w:themeColor="background1"/>
                <w:sz w:val="19"/>
                <w:szCs w:val="19"/>
              </w:rPr>
            </w:pPr>
          </w:p>
        </w:tc>
        <w:tc>
          <w:tcPr>
            <w:tcW w:w="524" w:type="pct"/>
            <w:tcBorders>
              <w:top w:val="single" w:sz="4" w:space="0" w:color="auto"/>
              <w:left w:val="single" w:sz="4" w:space="0" w:color="auto"/>
              <w:bottom w:val="single" w:sz="4" w:space="0" w:color="auto"/>
              <w:right w:val="nil"/>
            </w:tcBorders>
            <w:shd w:val="clear" w:color="auto" w:fill="5B9BD5" w:themeFill="accent1"/>
          </w:tcPr>
          <w:p w:rsidR="00857E03" w:rsidRPr="00F61AD0" w:rsidRDefault="00857E03" w:rsidP="003951FC">
            <w:pPr>
              <w:pStyle w:val="TableText"/>
              <w:rPr>
                <w:b/>
                <w:color w:val="FFFFFF" w:themeColor="background1"/>
                <w:sz w:val="19"/>
                <w:szCs w:val="19"/>
              </w:rPr>
            </w:pPr>
            <w:r w:rsidRPr="00F61AD0">
              <w:rPr>
                <w:b/>
                <w:color w:val="FFFFFF" w:themeColor="background1"/>
                <w:sz w:val="19"/>
                <w:szCs w:val="19"/>
              </w:rPr>
              <w:t>Age not provided</w:t>
            </w:r>
          </w:p>
        </w:tc>
        <w:tc>
          <w:tcPr>
            <w:tcW w:w="524" w:type="pct"/>
            <w:tcBorders>
              <w:top w:val="single" w:sz="4" w:space="0" w:color="auto"/>
              <w:left w:val="nil"/>
              <w:bottom w:val="single" w:sz="4" w:space="0" w:color="auto"/>
              <w:right w:val="single" w:sz="4" w:space="0" w:color="auto"/>
            </w:tcBorders>
            <w:shd w:val="clear" w:color="auto" w:fill="5B9BD5" w:themeFill="accent1"/>
          </w:tcPr>
          <w:p w:rsidR="00857E03" w:rsidRPr="00F61AD0" w:rsidRDefault="00857E03" w:rsidP="003951FC">
            <w:pPr>
              <w:pStyle w:val="TableText"/>
              <w:rPr>
                <w:b/>
                <w:color w:val="FFFFFF" w:themeColor="background1"/>
                <w:sz w:val="19"/>
                <w:szCs w:val="19"/>
              </w:rPr>
            </w:pPr>
          </w:p>
        </w:tc>
        <w:tc>
          <w:tcPr>
            <w:tcW w:w="522" w:type="pct"/>
            <w:tcBorders>
              <w:left w:val="single" w:sz="4" w:space="0" w:color="auto"/>
              <w:bottom w:val="single" w:sz="4" w:space="0" w:color="auto"/>
            </w:tcBorders>
            <w:shd w:val="clear" w:color="auto" w:fill="5B9BD5" w:themeFill="accent1"/>
          </w:tcPr>
          <w:p w:rsidR="00857E03" w:rsidRPr="00F61AD0" w:rsidRDefault="00857E03" w:rsidP="003951FC">
            <w:pPr>
              <w:pStyle w:val="TableText"/>
              <w:rPr>
                <w:b/>
                <w:color w:val="FFFFFF" w:themeColor="background1"/>
                <w:sz w:val="19"/>
                <w:szCs w:val="19"/>
              </w:rPr>
            </w:pPr>
            <w:r w:rsidRPr="00F61AD0">
              <w:rPr>
                <w:b/>
                <w:color w:val="FFFFFF" w:themeColor="background1"/>
                <w:sz w:val="19"/>
                <w:szCs w:val="19"/>
              </w:rPr>
              <w:t>Row Total</w:t>
            </w:r>
          </w:p>
        </w:tc>
      </w:tr>
      <w:tr w:rsidR="00857E03" w:rsidRPr="00F61AD0" w:rsidTr="00595829">
        <w:trPr>
          <w:tblHeader/>
        </w:trPr>
        <w:tc>
          <w:tcPr>
            <w:tcW w:w="1334" w:type="pct"/>
            <w:tcBorders>
              <w:top w:val="single" w:sz="4" w:space="0" w:color="auto"/>
              <w:left w:val="nil"/>
              <w:bottom w:val="single" w:sz="4" w:space="0" w:color="auto"/>
              <w:right w:val="single" w:sz="4" w:space="0" w:color="auto"/>
            </w:tcBorders>
          </w:tcPr>
          <w:p w:rsidR="00857E03" w:rsidRPr="00F61AD0" w:rsidRDefault="00857E03" w:rsidP="003951FC">
            <w:pPr>
              <w:pStyle w:val="TableText"/>
              <w:rPr>
                <w:rFonts w:ascii="Times New Roman"/>
                <w:sz w:val="19"/>
                <w:szCs w:val="19"/>
              </w:rPr>
            </w:pPr>
          </w:p>
        </w:tc>
        <w:tc>
          <w:tcPr>
            <w:tcW w:w="524"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857E03" w:rsidRPr="00F61AD0" w:rsidRDefault="00857E03" w:rsidP="003951FC">
            <w:pPr>
              <w:pStyle w:val="TableText"/>
              <w:rPr>
                <w:b/>
                <w:sz w:val="19"/>
                <w:szCs w:val="19"/>
              </w:rPr>
            </w:pPr>
            <w:r w:rsidRPr="00F61AD0">
              <w:rPr>
                <w:b/>
                <w:w w:val="103"/>
                <w:sz w:val="19"/>
                <w:szCs w:val="19"/>
              </w:rPr>
              <w:t>n</w:t>
            </w:r>
          </w:p>
        </w:tc>
        <w:tc>
          <w:tcPr>
            <w:tcW w:w="524"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857E03" w:rsidRPr="00F61AD0" w:rsidRDefault="00857E03" w:rsidP="003951FC">
            <w:pPr>
              <w:pStyle w:val="TableText"/>
              <w:rPr>
                <w:b/>
                <w:sz w:val="19"/>
                <w:szCs w:val="19"/>
              </w:rPr>
            </w:pPr>
            <w:r w:rsidRPr="00F61AD0">
              <w:rPr>
                <w:b/>
                <w:w w:val="103"/>
                <w:sz w:val="19"/>
                <w:szCs w:val="19"/>
              </w:rPr>
              <w:t>%</w:t>
            </w:r>
          </w:p>
        </w:tc>
        <w:tc>
          <w:tcPr>
            <w:tcW w:w="524"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857E03" w:rsidRPr="00F61AD0" w:rsidRDefault="00857E03" w:rsidP="003951FC">
            <w:pPr>
              <w:pStyle w:val="TableText"/>
              <w:rPr>
                <w:b/>
                <w:sz w:val="19"/>
                <w:szCs w:val="19"/>
              </w:rPr>
            </w:pPr>
            <w:r w:rsidRPr="00F61AD0">
              <w:rPr>
                <w:b/>
                <w:w w:val="103"/>
                <w:sz w:val="19"/>
                <w:szCs w:val="19"/>
              </w:rPr>
              <w:t>n</w:t>
            </w:r>
          </w:p>
        </w:tc>
        <w:tc>
          <w:tcPr>
            <w:tcW w:w="524"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857E03" w:rsidRPr="00F61AD0" w:rsidRDefault="00857E03" w:rsidP="003951FC">
            <w:pPr>
              <w:pStyle w:val="TableText"/>
              <w:rPr>
                <w:b/>
                <w:sz w:val="19"/>
                <w:szCs w:val="19"/>
              </w:rPr>
            </w:pPr>
            <w:r w:rsidRPr="00F61AD0">
              <w:rPr>
                <w:b/>
                <w:w w:val="103"/>
                <w:sz w:val="19"/>
                <w:szCs w:val="19"/>
              </w:rPr>
              <w:t>%</w:t>
            </w:r>
          </w:p>
        </w:tc>
        <w:tc>
          <w:tcPr>
            <w:tcW w:w="524"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857E03" w:rsidRPr="00F61AD0" w:rsidRDefault="00857E03" w:rsidP="003951FC">
            <w:pPr>
              <w:pStyle w:val="TableText"/>
              <w:rPr>
                <w:b/>
                <w:sz w:val="19"/>
                <w:szCs w:val="19"/>
              </w:rPr>
            </w:pPr>
            <w:r w:rsidRPr="00F61AD0">
              <w:rPr>
                <w:b/>
                <w:w w:val="103"/>
                <w:sz w:val="19"/>
                <w:szCs w:val="19"/>
              </w:rPr>
              <w:t>n</w:t>
            </w:r>
          </w:p>
        </w:tc>
        <w:tc>
          <w:tcPr>
            <w:tcW w:w="524"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857E03" w:rsidRPr="00F61AD0" w:rsidRDefault="00857E03" w:rsidP="003951FC">
            <w:pPr>
              <w:pStyle w:val="TableText"/>
              <w:rPr>
                <w:b/>
                <w:sz w:val="19"/>
                <w:szCs w:val="19"/>
              </w:rPr>
            </w:pPr>
            <w:r w:rsidRPr="00F61AD0">
              <w:rPr>
                <w:b/>
                <w:w w:val="103"/>
                <w:sz w:val="19"/>
                <w:szCs w:val="19"/>
              </w:rPr>
              <w:t>%</w:t>
            </w:r>
          </w:p>
        </w:tc>
        <w:tc>
          <w:tcPr>
            <w:tcW w:w="522" w:type="pct"/>
            <w:tcBorders>
              <w:top w:val="single" w:sz="4" w:space="0" w:color="auto"/>
              <w:left w:val="single" w:sz="4" w:space="0" w:color="auto"/>
              <w:bottom w:val="single" w:sz="4" w:space="0" w:color="auto"/>
              <w:right w:val="nil"/>
            </w:tcBorders>
            <w:shd w:val="clear" w:color="auto" w:fill="auto"/>
          </w:tcPr>
          <w:p w:rsidR="00857E03" w:rsidRPr="00F61AD0" w:rsidRDefault="00857E03" w:rsidP="003951FC">
            <w:pPr>
              <w:pStyle w:val="TableText"/>
              <w:rPr>
                <w:sz w:val="19"/>
                <w:szCs w:val="19"/>
              </w:rPr>
            </w:pPr>
          </w:p>
        </w:tc>
      </w:tr>
      <w:tr w:rsidR="00857E03" w:rsidRPr="00F61AD0" w:rsidTr="003951FC">
        <w:tc>
          <w:tcPr>
            <w:tcW w:w="133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Health Science</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70</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17.2</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3"/>
                <w:sz w:val="19"/>
                <w:szCs w:val="19"/>
              </w:rPr>
              <w:t>5</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sz w:val="19"/>
                <w:szCs w:val="19"/>
              </w:rPr>
              <w:t>2.2</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3"/>
                <w:sz w:val="19"/>
                <w:szCs w:val="19"/>
              </w:rPr>
              <w:t>0</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0.0</w:t>
            </w: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75</w:t>
            </w:r>
          </w:p>
        </w:tc>
      </w:tr>
      <w:tr w:rsidR="00857E03" w:rsidRPr="00F61AD0" w:rsidTr="003951FC">
        <w:tc>
          <w:tcPr>
            <w:tcW w:w="133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Education</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51</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14.0</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16</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sz w:val="19"/>
                <w:szCs w:val="19"/>
              </w:rPr>
              <w:t>6.9</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3"/>
                <w:sz w:val="19"/>
                <w:szCs w:val="19"/>
              </w:rPr>
              <w:t>2</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16.6</w:t>
            </w: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69</w:t>
            </w:r>
          </w:p>
        </w:tc>
      </w:tr>
      <w:tr w:rsidR="00857E03" w:rsidRPr="00F61AD0" w:rsidTr="003951FC">
        <w:tc>
          <w:tcPr>
            <w:tcW w:w="133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Nursing &amp; Midwifery</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46</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12.6</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62</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sz w:val="19"/>
                <w:szCs w:val="19"/>
              </w:rPr>
              <w:t>26.8</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3"/>
                <w:sz w:val="19"/>
                <w:szCs w:val="19"/>
              </w:rPr>
              <w:t>0</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0.0</w:t>
            </w: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108</w:t>
            </w:r>
          </w:p>
        </w:tc>
      </w:tr>
      <w:tr w:rsidR="00857E03" w:rsidRPr="00F61AD0" w:rsidTr="003951FC">
        <w:tc>
          <w:tcPr>
            <w:tcW w:w="133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Management &amp; Commerce</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32</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8.7</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64</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sz w:val="19"/>
                <w:szCs w:val="19"/>
              </w:rPr>
              <w:t>27.7</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3"/>
                <w:sz w:val="19"/>
                <w:szCs w:val="19"/>
              </w:rPr>
              <w:t>3</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25.0</w:t>
            </w: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99</w:t>
            </w:r>
          </w:p>
        </w:tc>
      </w:tr>
      <w:tr w:rsidR="00857E03" w:rsidRPr="00F61AD0" w:rsidTr="003951FC">
        <w:tc>
          <w:tcPr>
            <w:tcW w:w="133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Pharmacy &amp; Medical Science</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26</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7.1</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3"/>
                <w:sz w:val="19"/>
                <w:szCs w:val="19"/>
              </w:rPr>
              <w:t>4</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sz w:val="19"/>
                <w:szCs w:val="19"/>
              </w:rPr>
              <w:t>1.7</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3"/>
                <w:sz w:val="19"/>
                <w:szCs w:val="19"/>
              </w:rPr>
              <w:t>1</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8.3</w:t>
            </w: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31</w:t>
            </w:r>
          </w:p>
        </w:tc>
      </w:tr>
      <w:tr w:rsidR="00857E03" w:rsidRPr="00F61AD0" w:rsidTr="003951FC">
        <w:tc>
          <w:tcPr>
            <w:tcW w:w="133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Psychology &amp; Social Work</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24</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6.6</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39</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sz w:val="19"/>
                <w:szCs w:val="19"/>
              </w:rPr>
              <w:t>16.9</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3"/>
                <w:sz w:val="19"/>
                <w:szCs w:val="19"/>
              </w:rPr>
              <w:t>1</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8.3</w:t>
            </w: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64</w:t>
            </w:r>
          </w:p>
        </w:tc>
      </w:tr>
      <w:tr w:rsidR="00857E03" w:rsidRPr="00F61AD0" w:rsidTr="003951FC">
        <w:tc>
          <w:tcPr>
            <w:tcW w:w="133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Art, Architecture &amp; Design</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22</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6.0</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3"/>
                <w:sz w:val="19"/>
                <w:szCs w:val="19"/>
              </w:rPr>
              <w:t>1</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sz w:val="19"/>
                <w:szCs w:val="19"/>
              </w:rPr>
              <w:t>0.4</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3"/>
                <w:sz w:val="19"/>
                <w:szCs w:val="19"/>
              </w:rPr>
              <w:t>0</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0.0</w:t>
            </w: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23</w:t>
            </w:r>
          </w:p>
        </w:tc>
      </w:tr>
      <w:tr w:rsidR="00857E03" w:rsidRPr="00F61AD0" w:rsidTr="003951FC">
        <w:trPr>
          <w:trHeight w:val="732"/>
        </w:trPr>
        <w:tc>
          <w:tcPr>
            <w:tcW w:w="133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Communication, International Studies &amp;</w:t>
            </w:r>
          </w:p>
          <w:p w:rsidR="00857E03" w:rsidRPr="00F61AD0" w:rsidRDefault="00857E03" w:rsidP="003951FC">
            <w:pPr>
              <w:pStyle w:val="TableText"/>
              <w:rPr>
                <w:sz w:val="19"/>
                <w:szCs w:val="19"/>
              </w:rPr>
            </w:pPr>
            <w:r w:rsidRPr="00F61AD0">
              <w:rPr>
                <w:w w:val="105"/>
                <w:sz w:val="19"/>
                <w:szCs w:val="19"/>
              </w:rPr>
              <w:t>Language</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18</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4.9</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3"/>
                <w:sz w:val="19"/>
                <w:szCs w:val="19"/>
              </w:rPr>
              <w:t>3</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sz w:val="19"/>
                <w:szCs w:val="19"/>
              </w:rPr>
              <w:t>1.3</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3"/>
                <w:sz w:val="19"/>
                <w:szCs w:val="19"/>
              </w:rPr>
              <w:t>0</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0.0</w:t>
            </w: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21</w:t>
            </w:r>
          </w:p>
        </w:tc>
      </w:tr>
      <w:tr w:rsidR="00857E03" w:rsidRPr="00F61AD0" w:rsidTr="003951FC">
        <w:tc>
          <w:tcPr>
            <w:tcW w:w="133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Tourism &amp; Events</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14</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3.8</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3"/>
                <w:sz w:val="19"/>
                <w:szCs w:val="19"/>
              </w:rPr>
              <w:t>3</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sz w:val="19"/>
                <w:szCs w:val="19"/>
              </w:rPr>
              <w:t>1.3</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3"/>
                <w:sz w:val="19"/>
                <w:szCs w:val="19"/>
              </w:rPr>
              <w:t>1</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8.3</w:t>
            </w: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18</w:t>
            </w:r>
          </w:p>
        </w:tc>
      </w:tr>
      <w:tr w:rsidR="00857E03" w:rsidRPr="00F61AD0" w:rsidTr="003951FC">
        <w:tc>
          <w:tcPr>
            <w:tcW w:w="133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Medical Radiation Science</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13</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3.6</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12</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sz w:val="19"/>
                <w:szCs w:val="19"/>
              </w:rPr>
              <w:t>5.2</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3"/>
                <w:sz w:val="19"/>
                <w:szCs w:val="19"/>
              </w:rPr>
              <w:t>0</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0.0</w:t>
            </w: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25</w:t>
            </w:r>
          </w:p>
        </w:tc>
      </w:tr>
      <w:tr w:rsidR="00857E03" w:rsidRPr="00F61AD0" w:rsidTr="003951FC">
        <w:tc>
          <w:tcPr>
            <w:tcW w:w="133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Engineering</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3"/>
                <w:sz w:val="19"/>
                <w:szCs w:val="19"/>
              </w:rPr>
              <w:t>9</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2.5</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3"/>
                <w:sz w:val="19"/>
                <w:szCs w:val="19"/>
              </w:rPr>
              <w:t>2</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sz w:val="19"/>
                <w:szCs w:val="19"/>
              </w:rPr>
              <w:t>0.9</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3"/>
                <w:sz w:val="19"/>
                <w:szCs w:val="19"/>
              </w:rPr>
              <w:t>1</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8.3</w:t>
            </w: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12</w:t>
            </w:r>
          </w:p>
        </w:tc>
      </w:tr>
      <w:tr w:rsidR="00857E03" w:rsidRPr="00F61AD0" w:rsidTr="003951FC">
        <w:tc>
          <w:tcPr>
            <w:tcW w:w="133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Marketing</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3"/>
                <w:sz w:val="19"/>
                <w:szCs w:val="19"/>
              </w:rPr>
              <w:t>9</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2.5</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3"/>
                <w:sz w:val="19"/>
                <w:szCs w:val="19"/>
              </w:rPr>
              <w:t>0</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sz w:val="19"/>
                <w:szCs w:val="19"/>
              </w:rPr>
              <w:t>0.0</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3"/>
                <w:sz w:val="19"/>
                <w:szCs w:val="19"/>
              </w:rPr>
              <w:t>1</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8.3</w:t>
            </w: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10</w:t>
            </w:r>
          </w:p>
        </w:tc>
      </w:tr>
      <w:tr w:rsidR="00857E03" w:rsidRPr="00F61AD0" w:rsidTr="003951FC">
        <w:tc>
          <w:tcPr>
            <w:tcW w:w="133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Law &amp; Legal Studies</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3"/>
                <w:sz w:val="19"/>
                <w:szCs w:val="19"/>
              </w:rPr>
              <w:t>6</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1.6</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3"/>
                <w:sz w:val="19"/>
                <w:szCs w:val="19"/>
              </w:rPr>
              <w:t>2</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sz w:val="19"/>
                <w:szCs w:val="19"/>
              </w:rPr>
              <w:t>0.9</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3"/>
                <w:sz w:val="19"/>
                <w:szCs w:val="19"/>
              </w:rPr>
              <w:t>0</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0.0</w:t>
            </w: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3"/>
                <w:sz w:val="19"/>
                <w:szCs w:val="19"/>
              </w:rPr>
              <w:t>8</w:t>
            </w:r>
          </w:p>
        </w:tc>
      </w:tr>
      <w:tr w:rsidR="00857E03" w:rsidRPr="00F61AD0" w:rsidTr="003951FC">
        <w:trPr>
          <w:trHeight w:val="529"/>
        </w:trPr>
        <w:tc>
          <w:tcPr>
            <w:tcW w:w="133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Urban &amp; Regional</w:t>
            </w:r>
          </w:p>
          <w:p w:rsidR="00857E03" w:rsidRPr="00F61AD0" w:rsidRDefault="00857E03" w:rsidP="003951FC">
            <w:pPr>
              <w:pStyle w:val="TableText"/>
              <w:rPr>
                <w:sz w:val="19"/>
                <w:szCs w:val="19"/>
              </w:rPr>
            </w:pPr>
            <w:r w:rsidRPr="00F61AD0">
              <w:rPr>
                <w:w w:val="105"/>
                <w:sz w:val="19"/>
                <w:szCs w:val="19"/>
              </w:rPr>
              <w:t>Planning</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3"/>
                <w:sz w:val="19"/>
                <w:szCs w:val="19"/>
              </w:rPr>
              <w:t>4</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1.1</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3"/>
                <w:sz w:val="19"/>
                <w:szCs w:val="19"/>
              </w:rPr>
              <w:t>0</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sz w:val="19"/>
                <w:szCs w:val="19"/>
              </w:rPr>
              <w:t>0.0</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3"/>
                <w:sz w:val="19"/>
                <w:szCs w:val="19"/>
              </w:rPr>
              <w:t>0</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0.0</w:t>
            </w: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3"/>
                <w:sz w:val="19"/>
                <w:szCs w:val="19"/>
              </w:rPr>
              <w:t>4</w:t>
            </w:r>
          </w:p>
        </w:tc>
      </w:tr>
      <w:tr w:rsidR="00857E03" w:rsidRPr="00F61AD0" w:rsidTr="003951FC">
        <w:tc>
          <w:tcPr>
            <w:tcW w:w="133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Information Technology</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3"/>
                <w:sz w:val="19"/>
                <w:szCs w:val="19"/>
              </w:rPr>
              <w:t>3</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0.8</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3"/>
                <w:sz w:val="19"/>
                <w:szCs w:val="19"/>
              </w:rPr>
              <w:t>7</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sz w:val="19"/>
                <w:szCs w:val="19"/>
              </w:rPr>
              <w:t>3.0</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3"/>
                <w:sz w:val="19"/>
                <w:szCs w:val="19"/>
              </w:rPr>
              <w:t>0</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0.0</w:t>
            </w: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10</w:t>
            </w:r>
          </w:p>
        </w:tc>
      </w:tr>
      <w:tr w:rsidR="00857E03" w:rsidRPr="00F61AD0" w:rsidTr="003951FC">
        <w:trPr>
          <w:trHeight w:val="526"/>
        </w:trPr>
        <w:tc>
          <w:tcPr>
            <w:tcW w:w="133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Aboriginal &amp; Australian</w:t>
            </w:r>
          </w:p>
          <w:p w:rsidR="00857E03" w:rsidRPr="00F61AD0" w:rsidRDefault="00857E03" w:rsidP="003951FC">
            <w:pPr>
              <w:pStyle w:val="TableText"/>
              <w:rPr>
                <w:sz w:val="19"/>
                <w:szCs w:val="19"/>
              </w:rPr>
            </w:pPr>
            <w:r w:rsidRPr="00F61AD0">
              <w:rPr>
                <w:w w:val="105"/>
                <w:sz w:val="19"/>
                <w:szCs w:val="19"/>
              </w:rPr>
              <w:t>Studies</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3"/>
                <w:sz w:val="19"/>
                <w:szCs w:val="19"/>
              </w:rPr>
              <w:t>3</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0.8</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3"/>
                <w:sz w:val="19"/>
                <w:szCs w:val="19"/>
              </w:rPr>
              <w:t>3</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sz w:val="19"/>
                <w:szCs w:val="19"/>
              </w:rPr>
              <w:t>1.3</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3"/>
                <w:sz w:val="19"/>
                <w:szCs w:val="19"/>
              </w:rPr>
              <w:t>0</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0.0</w:t>
            </w: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3"/>
                <w:sz w:val="19"/>
                <w:szCs w:val="19"/>
              </w:rPr>
              <w:t>6</w:t>
            </w:r>
          </w:p>
        </w:tc>
      </w:tr>
      <w:tr w:rsidR="00857E03" w:rsidRPr="00F61AD0" w:rsidTr="003951FC">
        <w:tc>
          <w:tcPr>
            <w:tcW w:w="133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Environmental &amp; Spatial Science</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3"/>
                <w:sz w:val="19"/>
                <w:szCs w:val="19"/>
              </w:rPr>
              <w:t>3</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0.8</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3"/>
                <w:sz w:val="19"/>
                <w:szCs w:val="19"/>
              </w:rPr>
              <w:t>0</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sz w:val="19"/>
                <w:szCs w:val="19"/>
              </w:rPr>
              <w:t>0.0</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3"/>
                <w:sz w:val="19"/>
                <w:szCs w:val="19"/>
              </w:rPr>
              <w:t>0</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0.0</w:t>
            </w: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3"/>
                <w:sz w:val="19"/>
                <w:szCs w:val="19"/>
              </w:rPr>
              <w:t>3</w:t>
            </w:r>
          </w:p>
        </w:tc>
      </w:tr>
      <w:tr w:rsidR="00857E03" w:rsidRPr="00F61AD0" w:rsidTr="003951FC">
        <w:tc>
          <w:tcPr>
            <w:tcW w:w="133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Aviation</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3"/>
                <w:sz w:val="19"/>
                <w:szCs w:val="19"/>
              </w:rPr>
              <w:t>2</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0.8</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3"/>
                <w:sz w:val="19"/>
                <w:szCs w:val="19"/>
              </w:rPr>
              <w:t>0</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sz w:val="19"/>
                <w:szCs w:val="19"/>
              </w:rPr>
              <w:t>0.0</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3"/>
                <w:sz w:val="19"/>
                <w:szCs w:val="19"/>
              </w:rPr>
              <w:t>0</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0.0</w:t>
            </w: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3"/>
                <w:sz w:val="19"/>
                <w:szCs w:val="19"/>
              </w:rPr>
              <w:t>2</w:t>
            </w:r>
          </w:p>
        </w:tc>
      </w:tr>
      <w:tr w:rsidR="00857E03" w:rsidRPr="00F61AD0" w:rsidTr="003951FC">
        <w:tc>
          <w:tcPr>
            <w:tcW w:w="133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Population Health</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3"/>
                <w:sz w:val="19"/>
                <w:szCs w:val="19"/>
              </w:rPr>
              <w:t>2</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0.5</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3"/>
                <w:sz w:val="19"/>
                <w:szCs w:val="19"/>
              </w:rPr>
              <w:t>0</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sz w:val="19"/>
                <w:szCs w:val="19"/>
              </w:rPr>
              <w:t>0.0</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3"/>
                <w:sz w:val="19"/>
                <w:szCs w:val="19"/>
              </w:rPr>
              <w:t>0</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0.0</w:t>
            </w: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3"/>
                <w:sz w:val="19"/>
                <w:szCs w:val="19"/>
              </w:rPr>
              <w:t>2</w:t>
            </w:r>
          </w:p>
        </w:tc>
      </w:tr>
      <w:tr w:rsidR="00857E03" w:rsidRPr="00F61AD0" w:rsidTr="003951FC">
        <w:trPr>
          <w:trHeight w:val="554"/>
        </w:trPr>
        <w:tc>
          <w:tcPr>
            <w:tcW w:w="133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Construction</w:t>
            </w:r>
          </w:p>
          <w:p w:rsidR="00857E03" w:rsidRPr="00F61AD0" w:rsidRDefault="00857E03" w:rsidP="003951FC">
            <w:pPr>
              <w:pStyle w:val="TableText"/>
              <w:rPr>
                <w:sz w:val="19"/>
                <w:szCs w:val="19"/>
              </w:rPr>
            </w:pPr>
            <w:r w:rsidRPr="00F61AD0">
              <w:rPr>
                <w:w w:val="105"/>
                <w:sz w:val="19"/>
                <w:szCs w:val="19"/>
              </w:rPr>
              <w:t>Management</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3"/>
                <w:sz w:val="19"/>
                <w:szCs w:val="19"/>
              </w:rPr>
              <w:t>1</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0.3</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3"/>
                <w:sz w:val="19"/>
                <w:szCs w:val="19"/>
              </w:rPr>
              <w:t>1</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sz w:val="19"/>
                <w:szCs w:val="19"/>
              </w:rPr>
              <w:t>0.4</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3"/>
                <w:sz w:val="19"/>
                <w:szCs w:val="19"/>
              </w:rPr>
              <w:t>0</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5"/>
                <w:sz w:val="19"/>
                <w:szCs w:val="19"/>
              </w:rPr>
              <w:t>0.0</w:t>
            </w: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857E03" w:rsidRPr="00F61AD0" w:rsidRDefault="00857E03" w:rsidP="003951FC">
            <w:pPr>
              <w:pStyle w:val="TableText"/>
              <w:rPr>
                <w:sz w:val="19"/>
                <w:szCs w:val="19"/>
              </w:rPr>
            </w:pPr>
            <w:r w:rsidRPr="00F61AD0">
              <w:rPr>
                <w:w w:val="103"/>
                <w:sz w:val="19"/>
                <w:szCs w:val="19"/>
              </w:rPr>
              <w:t>2</w:t>
            </w:r>
          </w:p>
        </w:tc>
      </w:tr>
      <w:tr w:rsidR="003951FC" w:rsidRPr="00F61AD0" w:rsidTr="003951FC">
        <w:tc>
          <w:tcPr>
            <w:tcW w:w="1334" w:type="pct"/>
            <w:tcBorders>
              <w:top w:val="single" w:sz="4" w:space="0" w:color="auto"/>
              <w:left w:val="single" w:sz="4" w:space="0" w:color="auto"/>
              <w:bottom w:val="single" w:sz="4" w:space="0" w:color="auto"/>
              <w:right w:val="single" w:sz="4" w:space="0" w:color="auto"/>
            </w:tcBorders>
            <w:shd w:val="clear" w:color="auto" w:fill="auto"/>
          </w:tcPr>
          <w:p w:rsidR="003951FC" w:rsidRPr="00F61AD0" w:rsidRDefault="003951FC" w:rsidP="003951FC">
            <w:pPr>
              <w:pStyle w:val="TableText"/>
              <w:rPr>
                <w:sz w:val="19"/>
                <w:szCs w:val="19"/>
              </w:rPr>
            </w:pPr>
            <w:r w:rsidRPr="00F61AD0">
              <w:rPr>
                <w:w w:val="105"/>
                <w:sz w:val="19"/>
                <w:szCs w:val="19"/>
              </w:rPr>
              <w:t>Science &amp; Mathematics</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3951FC" w:rsidRPr="00F61AD0" w:rsidRDefault="003951FC" w:rsidP="003951FC">
            <w:pPr>
              <w:pStyle w:val="TableText"/>
              <w:rPr>
                <w:sz w:val="19"/>
                <w:szCs w:val="19"/>
              </w:rPr>
            </w:pPr>
            <w:r w:rsidRPr="00F61AD0">
              <w:rPr>
                <w:w w:val="103"/>
                <w:sz w:val="19"/>
                <w:szCs w:val="19"/>
              </w:rPr>
              <w:t>1</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3951FC" w:rsidRPr="00F61AD0" w:rsidRDefault="003951FC" w:rsidP="003951FC">
            <w:pPr>
              <w:pStyle w:val="TableText"/>
              <w:rPr>
                <w:sz w:val="19"/>
                <w:szCs w:val="19"/>
              </w:rPr>
            </w:pPr>
            <w:r w:rsidRPr="00F61AD0">
              <w:rPr>
                <w:w w:val="105"/>
                <w:sz w:val="19"/>
                <w:szCs w:val="19"/>
              </w:rPr>
              <w:t>0.3</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3951FC" w:rsidRPr="00F61AD0" w:rsidRDefault="003951FC" w:rsidP="003951FC">
            <w:pPr>
              <w:pStyle w:val="TableText"/>
              <w:rPr>
                <w:sz w:val="19"/>
                <w:szCs w:val="19"/>
              </w:rPr>
            </w:pPr>
            <w:r w:rsidRPr="00F61AD0">
              <w:rPr>
                <w:w w:val="103"/>
                <w:sz w:val="19"/>
                <w:szCs w:val="19"/>
              </w:rPr>
              <w:t>1</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3951FC" w:rsidRPr="00F61AD0" w:rsidRDefault="003951FC" w:rsidP="003951FC">
            <w:pPr>
              <w:pStyle w:val="TableText"/>
              <w:rPr>
                <w:sz w:val="19"/>
                <w:szCs w:val="19"/>
              </w:rPr>
            </w:pPr>
            <w:r w:rsidRPr="00F61AD0">
              <w:rPr>
                <w:sz w:val="19"/>
                <w:szCs w:val="19"/>
              </w:rPr>
              <w:t>0.4</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3951FC" w:rsidRPr="00F61AD0" w:rsidRDefault="003951FC" w:rsidP="003951FC">
            <w:pPr>
              <w:pStyle w:val="TableText"/>
              <w:rPr>
                <w:sz w:val="19"/>
                <w:szCs w:val="19"/>
              </w:rPr>
            </w:pPr>
            <w:r w:rsidRPr="00F61AD0">
              <w:rPr>
                <w:w w:val="103"/>
                <w:sz w:val="19"/>
                <w:szCs w:val="19"/>
              </w:rPr>
              <w:t>0</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3951FC" w:rsidRPr="00F61AD0" w:rsidRDefault="003951FC" w:rsidP="003951FC">
            <w:pPr>
              <w:pStyle w:val="TableText"/>
              <w:rPr>
                <w:sz w:val="19"/>
                <w:szCs w:val="19"/>
              </w:rPr>
            </w:pPr>
            <w:r w:rsidRPr="00F61AD0">
              <w:rPr>
                <w:w w:val="105"/>
                <w:sz w:val="19"/>
                <w:szCs w:val="19"/>
              </w:rPr>
              <w:t>0.0</w:t>
            </w: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3951FC" w:rsidRPr="00F61AD0" w:rsidRDefault="003951FC" w:rsidP="003951FC">
            <w:pPr>
              <w:pStyle w:val="TableText"/>
              <w:rPr>
                <w:sz w:val="19"/>
                <w:szCs w:val="19"/>
              </w:rPr>
            </w:pPr>
            <w:r w:rsidRPr="00F61AD0">
              <w:rPr>
                <w:w w:val="103"/>
                <w:sz w:val="19"/>
                <w:szCs w:val="19"/>
              </w:rPr>
              <w:t>2</w:t>
            </w:r>
          </w:p>
        </w:tc>
      </w:tr>
      <w:tr w:rsidR="003951FC" w:rsidRPr="00F61AD0" w:rsidTr="003951FC">
        <w:tc>
          <w:tcPr>
            <w:tcW w:w="1334" w:type="pct"/>
            <w:tcBorders>
              <w:top w:val="single" w:sz="4" w:space="0" w:color="auto"/>
              <w:left w:val="single" w:sz="4" w:space="0" w:color="auto"/>
              <w:bottom w:val="single" w:sz="4" w:space="0" w:color="auto"/>
              <w:right w:val="single" w:sz="4" w:space="0" w:color="auto"/>
            </w:tcBorders>
            <w:shd w:val="clear" w:color="auto" w:fill="auto"/>
          </w:tcPr>
          <w:p w:rsidR="003951FC" w:rsidRPr="00F61AD0" w:rsidRDefault="003951FC" w:rsidP="003951FC">
            <w:pPr>
              <w:pStyle w:val="TableText"/>
              <w:rPr>
                <w:sz w:val="19"/>
                <w:szCs w:val="19"/>
              </w:rPr>
            </w:pPr>
            <w:r w:rsidRPr="00F61AD0">
              <w:rPr>
                <w:w w:val="105"/>
                <w:sz w:val="19"/>
                <w:szCs w:val="19"/>
              </w:rPr>
              <w:t>Other</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3951FC" w:rsidRPr="00F61AD0" w:rsidRDefault="003951FC" w:rsidP="003951FC">
            <w:pPr>
              <w:pStyle w:val="TableText"/>
              <w:rPr>
                <w:sz w:val="19"/>
                <w:szCs w:val="19"/>
              </w:rPr>
            </w:pPr>
            <w:r w:rsidRPr="00F61AD0">
              <w:rPr>
                <w:w w:val="103"/>
                <w:sz w:val="19"/>
                <w:szCs w:val="19"/>
              </w:rPr>
              <w:t>3</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3951FC" w:rsidRPr="00F61AD0" w:rsidRDefault="003951FC" w:rsidP="003951FC">
            <w:pPr>
              <w:pStyle w:val="TableText"/>
              <w:rPr>
                <w:sz w:val="19"/>
                <w:szCs w:val="19"/>
              </w:rPr>
            </w:pPr>
            <w:r w:rsidRPr="00F61AD0">
              <w:rPr>
                <w:w w:val="105"/>
                <w:sz w:val="19"/>
                <w:szCs w:val="19"/>
              </w:rPr>
              <w:t>0.8</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3951FC" w:rsidRPr="00F61AD0" w:rsidRDefault="003951FC" w:rsidP="003951FC">
            <w:pPr>
              <w:pStyle w:val="TableText"/>
              <w:rPr>
                <w:sz w:val="19"/>
                <w:szCs w:val="19"/>
              </w:rPr>
            </w:pPr>
            <w:r w:rsidRPr="00F61AD0">
              <w:rPr>
                <w:w w:val="103"/>
                <w:sz w:val="19"/>
                <w:szCs w:val="19"/>
              </w:rPr>
              <w:t>1</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3951FC" w:rsidRPr="00F61AD0" w:rsidRDefault="003951FC" w:rsidP="003951FC">
            <w:pPr>
              <w:pStyle w:val="TableText"/>
              <w:rPr>
                <w:sz w:val="19"/>
                <w:szCs w:val="19"/>
              </w:rPr>
            </w:pPr>
            <w:r w:rsidRPr="00F61AD0">
              <w:rPr>
                <w:sz w:val="19"/>
                <w:szCs w:val="19"/>
              </w:rPr>
              <w:t>0.4</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3951FC" w:rsidRPr="00F61AD0" w:rsidRDefault="003951FC" w:rsidP="003951FC">
            <w:pPr>
              <w:pStyle w:val="TableText"/>
              <w:rPr>
                <w:sz w:val="19"/>
                <w:szCs w:val="19"/>
              </w:rPr>
            </w:pPr>
            <w:r w:rsidRPr="00F61AD0">
              <w:rPr>
                <w:w w:val="103"/>
                <w:sz w:val="19"/>
                <w:szCs w:val="19"/>
              </w:rPr>
              <w:t>0</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3951FC" w:rsidRPr="00F61AD0" w:rsidRDefault="003951FC" w:rsidP="003951FC">
            <w:pPr>
              <w:pStyle w:val="TableText"/>
              <w:rPr>
                <w:sz w:val="19"/>
                <w:szCs w:val="19"/>
              </w:rPr>
            </w:pPr>
            <w:r w:rsidRPr="00F61AD0">
              <w:rPr>
                <w:w w:val="105"/>
                <w:sz w:val="19"/>
                <w:szCs w:val="19"/>
              </w:rPr>
              <w:t>0.0</w:t>
            </w: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3951FC" w:rsidRPr="00F61AD0" w:rsidRDefault="003951FC" w:rsidP="003951FC">
            <w:pPr>
              <w:pStyle w:val="TableText"/>
              <w:rPr>
                <w:sz w:val="19"/>
                <w:szCs w:val="19"/>
              </w:rPr>
            </w:pPr>
            <w:r w:rsidRPr="00F61AD0">
              <w:rPr>
                <w:w w:val="103"/>
                <w:sz w:val="19"/>
                <w:szCs w:val="19"/>
              </w:rPr>
              <w:t>4</w:t>
            </w:r>
          </w:p>
        </w:tc>
      </w:tr>
      <w:tr w:rsidR="003951FC" w:rsidRPr="00F61AD0" w:rsidTr="003951FC">
        <w:tc>
          <w:tcPr>
            <w:tcW w:w="1334" w:type="pct"/>
            <w:tcBorders>
              <w:top w:val="single" w:sz="4" w:space="0" w:color="auto"/>
              <w:left w:val="single" w:sz="4" w:space="0" w:color="auto"/>
              <w:bottom w:val="single" w:sz="4" w:space="0" w:color="auto"/>
              <w:right w:val="single" w:sz="4" w:space="0" w:color="auto"/>
            </w:tcBorders>
            <w:shd w:val="clear" w:color="auto" w:fill="auto"/>
          </w:tcPr>
          <w:p w:rsidR="003951FC" w:rsidRPr="00F61AD0" w:rsidRDefault="003951FC" w:rsidP="003951FC">
            <w:pPr>
              <w:pStyle w:val="TableText"/>
              <w:rPr>
                <w:sz w:val="19"/>
                <w:szCs w:val="19"/>
              </w:rPr>
            </w:pPr>
            <w:r w:rsidRPr="00F61AD0">
              <w:rPr>
                <w:w w:val="105"/>
                <w:sz w:val="19"/>
                <w:szCs w:val="19"/>
              </w:rPr>
              <w:t>No response</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3951FC" w:rsidRPr="00F61AD0" w:rsidRDefault="003951FC" w:rsidP="003951FC">
            <w:pPr>
              <w:pStyle w:val="TableText"/>
              <w:rPr>
                <w:sz w:val="19"/>
                <w:szCs w:val="19"/>
              </w:rPr>
            </w:pPr>
            <w:r w:rsidRPr="00F61AD0">
              <w:rPr>
                <w:w w:val="103"/>
                <w:sz w:val="19"/>
                <w:szCs w:val="19"/>
              </w:rPr>
              <w:t>2</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3951FC" w:rsidRPr="00F61AD0" w:rsidRDefault="003951FC" w:rsidP="003951FC">
            <w:pPr>
              <w:pStyle w:val="TableText"/>
              <w:rPr>
                <w:sz w:val="19"/>
                <w:szCs w:val="19"/>
              </w:rPr>
            </w:pPr>
            <w:r w:rsidRPr="00F61AD0">
              <w:rPr>
                <w:w w:val="105"/>
                <w:sz w:val="19"/>
                <w:szCs w:val="19"/>
              </w:rPr>
              <w:t>0.5</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3951FC" w:rsidRPr="00F61AD0" w:rsidRDefault="003951FC" w:rsidP="003951FC">
            <w:pPr>
              <w:pStyle w:val="TableText"/>
              <w:rPr>
                <w:sz w:val="19"/>
                <w:szCs w:val="19"/>
              </w:rPr>
            </w:pPr>
            <w:r w:rsidRPr="00F61AD0">
              <w:rPr>
                <w:w w:val="103"/>
                <w:sz w:val="19"/>
                <w:szCs w:val="19"/>
              </w:rPr>
              <w:t>5</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3951FC" w:rsidRPr="00F61AD0" w:rsidRDefault="003951FC" w:rsidP="003951FC">
            <w:pPr>
              <w:pStyle w:val="TableText"/>
              <w:rPr>
                <w:sz w:val="19"/>
                <w:szCs w:val="19"/>
              </w:rPr>
            </w:pPr>
            <w:r w:rsidRPr="00F61AD0">
              <w:rPr>
                <w:sz w:val="19"/>
                <w:szCs w:val="19"/>
              </w:rPr>
              <w:t>2.2</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3951FC" w:rsidRPr="00F61AD0" w:rsidRDefault="003951FC" w:rsidP="003951FC">
            <w:pPr>
              <w:pStyle w:val="TableText"/>
              <w:rPr>
                <w:sz w:val="19"/>
                <w:szCs w:val="19"/>
              </w:rPr>
            </w:pPr>
            <w:r w:rsidRPr="00F61AD0">
              <w:rPr>
                <w:w w:val="103"/>
                <w:sz w:val="19"/>
                <w:szCs w:val="19"/>
              </w:rPr>
              <w:t>2</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3951FC" w:rsidRPr="00F61AD0" w:rsidRDefault="003951FC" w:rsidP="003951FC">
            <w:pPr>
              <w:pStyle w:val="TableText"/>
              <w:rPr>
                <w:sz w:val="19"/>
                <w:szCs w:val="19"/>
              </w:rPr>
            </w:pPr>
            <w:r w:rsidRPr="00F61AD0">
              <w:rPr>
                <w:w w:val="105"/>
                <w:sz w:val="19"/>
                <w:szCs w:val="19"/>
              </w:rPr>
              <w:t>16.7</w:t>
            </w: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3951FC" w:rsidRPr="00F61AD0" w:rsidRDefault="003951FC" w:rsidP="003951FC">
            <w:pPr>
              <w:pStyle w:val="TableText"/>
              <w:rPr>
                <w:sz w:val="19"/>
                <w:szCs w:val="19"/>
              </w:rPr>
            </w:pPr>
            <w:r w:rsidRPr="00F61AD0">
              <w:rPr>
                <w:w w:val="103"/>
                <w:sz w:val="19"/>
                <w:szCs w:val="19"/>
              </w:rPr>
              <w:t>9</w:t>
            </w:r>
          </w:p>
        </w:tc>
      </w:tr>
    </w:tbl>
    <w:p w:rsidR="00857E03" w:rsidRDefault="00857E03" w:rsidP="00D91A2F"/>
    <w:p w:rsidR="00F61AD0" w:rsidRDefault="00515EA8" w:rsidP="00D91A2F">
      <w:r w:rsidRPr="00515EA8">
        <w:t xml:space="preserve">Student respondents under the age of 25 were found to be predominantly enrolled in the disciplines of Health Science, Education, and Nursing &amp; Midwifery. Students 25 and over displayed different discipline preferences, with the areas of Management &amp; Commerce, Nursing &amp; Midwifery and Psychology &amp; Social Work being the most popular. The majority of respondents (87%) indicated that they were studying their first preference program. For </w:t>
      </w:r>
    </w:p>
    <w:p w:rsidR="00515EA8" w:rsidRDefault="00515EA8" w:rsidP="00D91A2F">
      <w:r w:rsidRPr="00515EA8">
        <w:t>those who were not studying their first preference, reasons included: having to relocate; pre-requisite subjects not offered in Year 12; lack of available information during Year 12; expectation of family; and not attaining the required ATAR/STAT test score.</w:t>
      </w:r>
    </w:p>
    <w:p w:rsidR="00515EA8" w:rsidRDefault="00515EA8">
      <w:pPr>
        <w:spacing w:after="0"/>
      </w:pPr>
      <w:r>
        <w:br w:type="page"/>
      </w:r>
    </w:p>
    <w:p w:rsidR="00515EA8" w:rsidRDefault="00515EA8" w:rsidP="00515EA8">
      <w:pPr>
        <w:pStyle w:val="Heading1"/>
      </w:pPr>
      <w:bookmarkStart w:id="28" w:name="_Toc517270331"/>
      <w:r>
        <w:t>3. Income and Expenditure</w:t>
      </w:r>
      <w:bookmarkEnd w:id="28"/>
    </w:p>
    <w:p w:rsidR="00515EA8" w:rsidRDefault="00515EA8" w:rsidP="00515EA8">
      <w:r>
        <w:t>Income and expenditure statistics derived from survey data has generally confirmed that those aged under 25 are more dependent on government, work and family support mechanisms. Statistics also show that those who have not relocated in both the under 25 and 25 and over categories have a higher mean and median income than those responding students who have relocated. It is reasonable to expect that a relocated student aged under 25 will face some challenges managing a budget and be less experienced in juggling the needs of study, work, domestic duties and the need to travel to and from university and for sport and social activities. This significant time-management adjustment, as well as difficulties finding employment in a city where there is a far more competitive job market, and where community contacts are no longer useful in securing employment, will mean finding a job with hours that are practicable is likely to be a challenge. It is clear however, that for those students of both age groups who have not relocated there appears to be more time to work, as the issue of competing challenges is avoided. Table 7 confirms that more hours are spent in paid employment by those who have not relocated.</w:t>
      </w:r>
    </w:p>
    <w:p w:rsidR="00515EA8" w:rsidRDefault="00515EA8" w:rsidP="00515EA8">
      <w:r>
        <w:t>For those respondents aged 25 and over, evidence shows that generally students did not relocate and rely on their own earnings and that of a partner rather than forms of government support. For respondents aged 25 years and over patterns of paid employment are discussed further in Section 4.2, and indicate that nearly half (48.7%) of students aged 25 years and over study part time and work more than 32 hours per week, resulting in a higher average weekly income in comparison to students aged under 25 years. Table 4 details weekly mean and median income sources for all respondents. Six outliers were removed from the below data set prior to analysis due to obvious data error, and a further 121 respondents had missing income data. Scholarships have not been included in the below weekly income table. Refer section 3.4 for scholarship income details.</w:t>
      </w:r>
    </w:p>
    <w:p w:rsidR="006A3B93" w:rsidRDefault="006A3B93" w:rsidP="00515EA8"/>
    <w:p w:rsidR="00595829" w:rsidRDefault="00595829" w:rsidP="00595829">
      <w:pPr>
        <w:pStyle w:val="TableTitles"/>
      </w:pPr>
      <w:bookmarkStart w:id="29" w:name="_Toc517270498"/>
      <w:r>
        <w:t xml:space="preserve">Table </w:t>
      </w:r>
      <w:fldSimple w:instr=" SEQ Table \* ARABIC ">
        <w:r w:rsidR="00766065">
          <w:rPr>
            <w:noProof/>
          </w:rPr>
          <w:t>4</w:t>
        </w:r>
      </w:fldSimple>
      <w:r>
        <w:t xml:space="preserve">: </w:t>
      </w:r>
      <w:r w:rsidRPr="008F0EB5">
        <w:t>Weekly mean and median income sources ($) for all respondents</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1E0" w:firstRow="1" w:lastRow="1" w:firstColumn="1" w:lastColumn="1" w:noHBand="0" w:noVBand="0"/>
        <w:tblCaption w:val="Table 4"/>
        <w:tblDescription w:val="Table displaying the weekly mean and median income sources ($) for all respondents, split into: Under 25 (All, Relocated and Non-relocated); and 25+ (All, Relocated and Non-relocated)."/>
      </w:tblPr>
      <w:tblGrid>
        <w:gridCol w:w="2411"/>
        <w:gridCol w:w="1103"/>
        <w:gridCol w:w="1102"/>
        <w:gridCol w:w="1102"/>
        <w:gridCol w:w="1102"/>
        <w:gridCol w:w="1102"/>
        <w:gridCol w:w="1099"/>
      </w:tblGrid>
      <w:tr w:rsidR="00595829" w:rsidRPr="006A3B93" w:rsidTr="00595829">
        <w:trPr>
          <w:tblHeader/>
        </w:trPr>
        <w:tc>
          <w:tcPr>
            <w:tcW w:w="1336" w:type="pct"/>
            <w:tcBorders>
              <w:top w:val="nil"/>
              <w:left w:val="nil"/>
              <w:bottom w:val="nil"/>
              <w:right w:val="single" w:sz="4" w:space="0" w:color="auto"/>
            </w:tcBorders>
            <w:shd w:val="clear" w:color="auto" w:fill="auto"/>
          </w:tcPr>
          <w:p w:rsidR="006A3B93" w:rsidRPr="006A3B93" w:rsidRDefault="006A3B93" w:rsidP="00595829">
            <w:pPr>
              <w:pStyle w:val="TableText"/>
            </w:pPr>
          </w:p>
        </w:tc>
        <w:tc>
          <w:tcPr>
            <w:tcW w:w="611" w:type="pct"/>
            <w:tcBorders>
              <w:top w:val="single" w:sz="4" w:space="0" w:color="auto"/>
              <w:left w:val="single" w:sz="4" w:space="0" w:color="auto"/>
              <w:bottom w:val="single" w:sz="4" w:space="0" w:color="auto"/>
              <w:right w:val="nil"/>
            </w:tcBorders>
            <w:shd w:val="clear" w:color="auto" w:fill="5B9BD5" w:themeFill="accent1"/>
          </w:tcPr>
          <w:p w:rsidR="006A3B93" w:rsidRPr="00595829" w:rsidRDefault="00595829" w:rsidP="00595829">
            <w:pPr>
              <w:pStyle w:val="TableText"/>
              <w:rPr>
                <w:b/>
                <w:color w:val="FFFFFF" w:themeColor="background1"/>
              </w:rPr>
            </w:pPr>
            <w:r w:rsidRPr="00595829">
              <w:rPr>
                <w:b/>
                <w:color w:val="FFFFFF" w:themeColor="background1"/>
              </w:rPr>
              <w:t>Under 25</w:t>
            </w:r>
          </w:p>
        </w:tc>
        <w:tc>
          <w:tcPr>
            <w:tcW w:w="611" w:type="pct"/>
            <w:tcBorders>
              <w:top w:val="single" w:sz="4" w:space="0" w:color="auto"/>
              <w:left w:val="nil"/>
              <w:bottom w:val="single" w:sz="4" w:space="0" w:color="auto"/>
              <w:right w:val="nil"/>
            </w:tcBorders>
            <w:shd w:val="clear" w:color="auto" w:fill="5B9BD5" w:themeFill="accent1"/>
          </w:tcPr>
          <w:p w:rsidR="006A3B93" w:rsidRPr="00595829" w:rsidRDefault="006A3B93" w:rsidP="00595829">
            <w:pPr>
              <w:pStyle w:val="TableText"/>
              <w:rPr>
                <w:b/>
                <w:color w:val="FFFFFF" w:themeColor="background1"/>
              </w:rPr>
            </w:pPr>
          </w:p>
        </w:tc>
        <w:tc>
          <w:tcPr>
            <w:tcW w:w="611" w:type="pct"/>
            <w:tcBorders>
              <w:top w:val="single" w:sz="4" w:space="0" w:color="auto"/>
              <w:left w:val="nil"/>
              <w:bottom w:val="single" w:sz="4" w:space="0" w:color="auto"/>
              <w:right w:val="single" w:sz="4" w:space="0" w:color="auto"/>
            </w:tcBorders>
            <w:shd w:val="clear" w:color="auto" w:fill="5B9BD5" w:themeFill="accent1"/>
          </w:tcPr>
          <w:p w:rsidR="006A3B93" w:rsidRPr="00595829" w:rsidRDefault="006A3B93" w:rsidP="00595829">
            <w:pPr>
              <w:pStyle w:val="TableText"/>
              <w:rPr>
                <w:b/>
                <w:color w:val="FFFFFF" w:themeColor="background1"/>
              </w:rPr>
            </w:pPr>
          </w:p>
        </w:tc>
        <w:tc>
          <w:tcPr>
            <w:tcW w:w="611" w:type="pct"/>
            <w:tcBorders>
              <w:top w:val="single" w:sz="4" w:space="0" w:color="auto"/>
              <w:left w:val="single" w:sz="4" w:space="0" w:color="auto"/>
              <w:bottom w:val="single" w:sz="4" w:space="0" w:color="auto"/>
              <w:right w:val="nil"/>
            </w:tcBorders>
            <w:shd w:val="clear" w:color="auto" w:fill="5B9BD5" w:themeFill="accent1"/>
          </w:tcPr>
          <w:p w:rsidR="006A3B93" w:rsidRPr="00595829" w:rsidRDefault="00595829" w:rsidP="00595829">
            <w:pPr>
              <w:pStyle w:val="TableText"/>
              <w:rPr>
                <w:b/>
                <w:color w:val="FFFFFF" w:themeColor="background1"/>
              </w:rPr>
            </w:pPr>
            <w:r w:rsidRPr="00595829">
              <w:rPr>
                <w:b/>
                <w:color w:val="FFFFFF" w:themeColor="background1"/>
              </w:rPr>
              <w:t>25+</w:t>
            </w:r>
          </w:p>
        </w:tc>
        <w:tc>
          <w:tcPr>
            <w:tcW w:w="611" w:type="pct"/>
            <w:tcBorders>
              <w:top w:val="single" w:sz="4" w:space="0" w:color="auto"/>
              <w:left w:val="nil"/>
              <w:bottom w:val="single" w:sz="4" w:space="0" w:color="auto"/>
              <w:right w:val="nil"/>
            </w:tcBorders>
            <w:shd w:val="clear" w:color="auto" w:fill="5B9BD5" w:themeFill="accent1"/>
          </w:tcPr>
          <w:p w:rsidR="006A3B93" w:rsidRPr="00595829" w:rsidRDefault="006A3B93" w:rsidP="00595829">
            <w:pPr>
              <w:pStyle w:val="TableText"/>
              <w:rPr>
                <w:b/>
                <w:color w:val="FFFFFF" w:themeColor="background1"/>
              </w:rPr>
            </w:pPr>
          </w:p>
        </w:tc>
        <w:tc>
          <w:tcPr>
            <w:tcW w:w="609" w:type="pct"/>
            <w:tcBorders>
              <w:top w:val="single" w:sz="4" w:space="0" w:color="auto"/>
              <w:left w:val="nil"/>
              <w:bottom w:val="single" w:sz="4" w:space="0" w:color="auto"/>
              <w:right w:val="single" w:sz="4" w:space="0" w:color="auto"/>
            </w:tcBorders>
            <w:shd w:val="clear" w:color="auto" w:fill="5B9BD5" w:themeFill="accent1"/>
          </w:tcPr>
          <w:p w:rsidR="006A3B93" w:rsidRPr="00595829" w:rsidRDefault="006A3B93" w:rsidP="00595829">
            <w:pPr>
              <w:pStyle w:val="TableText"/>
              <w:rPr>
                <w:b/>
                <w:color w:val="FFFFFF" w:themeColor="background1"/>
              </w:rPr>
            </w:pPr>
          </w:p>
        </w:tc>
      </w:tr>
      <w:tr w:rsidR="00595829" w:rsidRPr="006A3B93" w:rsidTr="00595829">
        <w:trPr>
          <w:tblHeader/>
        </w:trPr>
        <w:tc>
          <w:tcPr>
            <w:tcW w:w="1336" w:type="pct"/>
            <w:tcBorders>
              <w:top w:val="nil"/>
              <w:left w:val="nil"/>
              <w:bottom w:val="single" w:sz="4" w:space="0" w:color="auto"/>
              <w:right w:val="single" w:sz="4" w:space="0" w:color="auto"/>
            </w:tcBorders>
            <w:shd w:val="clear" w:color="auto" w:fill="auto"/>
          </w:tcPr>
          <w:p w:rsidR="00595829" w:rsidRPr="006A3B93" w:rsidRDefault="00595829" w:rsidP="00595829">
            <w:pPr>
              <w:pStyle w:val="TableText"/>
            </w:pPr>
          </w:p>
        </w:tc>
        <w:tc>
          <w:tcPr>
            <w:tcW w:w="611" w:type="pct"/>
            <w:tcBorders>
              <w:top w:val="single" w:sz="4" w:space="0" w:color="auto"/>
              <w:left w:val="single" w:sz="4" w:space="0" w:color="auto"/>
              <w:bottom w:val="single" w:sz="4" w:space="0" w:color="auto"/>
            </w:tcBorders>
            <w:shd w:val="clear" w:color="auto" w:fill="BDD6EE" w:themeFill="accent1" w:themeFillTint="66"/>
          </w:tcPr>
          <w:p w:rsidR="00595829" w:rsidRPr="00595829" w:rsidRDefault="00595829" w:rsidP="00595829">
            <w:pPr>
              <w:pStyle w:val="TableText"/>
              <w:rPr>
                <w:b/>
              </w:rPr>
            </w:pPr>
            <w:r w:rsidRPr="00595829">
              <w:rPr>
                <w:b/>
              </w:rPr>
              <w:t>All</w:t>
            </w:r>
          </w:p>
          <w:p w:rsidR="00595829" w:rsidRPr="00595829" w:rsidRDefault="00595829" w:rsidP="00595829">
            <w:pPr>
              <w:pStyle w:val="TableText"/>
              <w:rPr>
                <w:b/>
              </w:rPr>
            </w:pPr>
            <w:r w:rsidRPr="00595829">
              <w:rPr>
                <w:b/>
              </w:rPr>
              <w:t>N=296</w:t>
            </w:r>
          </w:p>
        </w:tc>
        <w:tc>
          <w:tcPr>
            <w:tcW w:w="611" w:type="pct"/>
            <w:tcBorders>
              <w:top w:val="single" w:sz="4" w:space="0" w:color="auto"/>
              <w:bottom w:val="single" w:sz="4" w:space="0" w:color="auto"/>
            </w:tcBorders>
            <w:shd w:val="clear" w:color="auto" w:fill="BDD6EE" w:themeFill="accent1" w:themeFillTint="66"/>
          </w:tcPr>
          <w:p w:rsidR="00595829" w:rsidRPr="00595829" w:rsidRDefault="00595829" w:rsidP="00595829">
            <w:pPr>
              <w:pStyle w:val="TableText"/>
              <w:rPr>
                <w:b/>
              </w:rPr>
            </w:pPr>
            <w:r w:rsidRPr="00595829">
              <w:rPr>
                <w:b/>
              </w:rPr>
              <w:t>Relocated</w:t>
            </w:r>
          </w:p>
          <w:p w:rsidR="00595829" w:rsidRPr="00595829" w:rsidRDefault="00595829" w:rsidP="00595829">
            <w:pPr>
              <w:pStyle w:val="TableText"/>
              <w:rPr>
                <w:b/>
              </w:rPr>
            </w:pPr>
            <w:r w:rsidRPr="00595829">
              <w:rPr>
                <w:b/>
              </w:rPr>
              <w:t>n=247</w:t>
            </w:r>
          </w:p>
        </w:tc>
        <w:tc>
          <w:tcPr>
            <w:tcW w:w="611" w:type="pct"/>
            <w:tcBorders>
              <w:top w:val="single" w:sz="4" w:space="0" w:color="auto"/>
              <w:bottom w:val="single" w:sz="4" w:space="0" w:color="auto"/>
            </w:tcBorders>
            <w:shd w:val="clear" w:color="auto" w:fill="BDD6EE" w:themeFill="accent1" w:themeFillTint="66"/>
          </w:tcPr>
          <w:p w:rsidR="00595829" w:rsidRPr="00595829" w:rsidRDefault="00595829" w:rsidP="00595829">
            <w:pPr>
              <w:pStyle w:val="TableText"/>
              <w:rPr>
                <w:b/>
              </w:rPr>
            </w:pPr>
            <w:r w:rsidRPr="00595829">
              <w:rPr>
                <w:b/>
              </w:rPr>
              <w:t>Non-</w:t>
            </w:r>
          </w:p>
          <w:p w:rsidR="00595829" w:rsidRPr="00595829" w:rsidRDefault="00595829" w:rsidP="00595829">
            <w:pPr>
              <w:pStyle w:val="TableText"/>
              <w:rPr>
                <w:b/>
              </w:rPr>
            </w:pPr>
            <w:r w:rsidRPr="00595829">
              <w:rPr>
                <w:b/>
              </w:rPr>
              <w:t>relocated n=49</w:t>
            </w:r>
          </w:p>
        </w:tc>
        <w:tc>
          <w:tcPr>
            <w:tcW w:w="611" w:type="pct"/>
            <w:tcBorders>
              <w:top w:val="single" w:sz="4" w:space="0" w:color="auto"/>
              <w:bottom w:val="single" w:sz="4" w:space="0" w:color="auto"/>
            </w:tcBorders>
            <w:shd w:val="clear" w:color="auto" w:fill="BDD6EE" w:themeFill="accent1" w:themeFillTint="66"/>
          </w:tcPr>
          <w:p w:rsidR="00595829" w:rsidRPr="00595829" w:rsidRDefault="00595829" w:rsidP="00595829">
            <w:pPr>
              <w:pStyle w:val="TableText"/>
              <w:rPr>
                <w:b/>
              </w:rPr>
            </w:pPr>
            <w:r w:rsidRPr="00595829">
              <w:rPr>
                <w:b/>
              </w:rPr>
              <w:t>All</w:t>
            </w:r>
          </w:p>
          <w:p w:rsidR="00595829" w:rsidRPr="00595829" w:rsidRDefault="00595829" w:rsidP="00595829">
            <w:pPr>
              <w:pStyle w:val="TableText"/>
              <w:rPr>
                <w:b/>
              </w:rPr>
            </w:pPr>
            <w:r w:rsidRPr="00595829">
              <w:rPr>
                <w:b/>
              </w:rPr>
              <w:t>N=184</w:t>
            </w:r>
          </w:p>
        </w:tc>
        <w:tc>
          <w:tcPr>
            <w:tcW w:w="611" w:type="pct"/>
            <w:tcBorders>
              <w:top w:val="single" w:sz="4" w:space="0" w:color="auto"/>
              <w:bottom w:val="single" w:sz="4" w:space="0" w:color="auto"/>
            </w:tcBorders>
            <w:shd w:val="clear" w:color="auto" w:fill="BDD6EE" w:themeFill="accent1" w:themeFillTint="66"/>
          </w:tcPr>
          <w:p w:rsidR="00595829" w:rsidRPr="00595829" w:rsidRDefault="00595829" w:rsidP="00595829">
            <w:pPr>
              <w:pStyle w:val="TableText"/>
              <w:rPr>
                <w:b/>
              </w:rPr>
            </w:pPr>
            <w:r w:rsidRPr="00595829">
              <w:rPr>
                <w:b/>
              </w:rPr>
              <w:t>Relocated</w:t>
            </w:r>
          </w:p>
          <w:p w:rsidR="00595829" w:rsidRPr="00595829" w:rsidRDefault="00595829" w:rsidP="00595829">
            <w:pPr>
              <w:pStyle w:val="TableText"/>
              <w:rPr>
                <w:b/>
              </w:rPr>
            </w:pPr>
            <w:r w:rsidRPr="00595829">
              <w:rPr>
                <w:b/>
              </w:rPr>
              <w:t>n=24</w:t>
            </w:r>
          </w:p>
        </w:tc>
        <w:tc>
          <w:tcPr>
            <w:tcW w:w="609" w:type="pct"/>
            <w:tcBorders>
              <w:top w:val="single" w:sz="4" w:space="0" w:color="auto"/>
              <w:bottom w:val="single" w:sz="4" w:space="0" w:color="auto"/>
            </w:tcBorders>
            <w:shd w:val="clear" w:color="auto" w:fill="BDD6EE" w:themeFill="accent1" w:themeFillTint="66"/>
          </w:tcPr>
          <w:p w:rsidR="00595829" w:rsidRPr="00595829" w:rsidRDefault="00595829" w:rsidP="00595829">
            <w:pPr>
              <w:pStyle w:val="TableText"/>
              <w:rPr>
                <w:b/>
              </w:rPr>
            </w:pPr>
            <w:r w:rsidRPr="00595829">
              <w:rPr>
                <w:b/>
              </w:rPr>
              <w:t>Non-</w:t>
            </w:r>
          </w:p>
          <w:p w:rsidR="00595829" w:rsidRPr="00595829" w:rsidRDefault="00595829" w:rsidP="00595829">
            <w:pPr>
              <w:pStyle w:val="TableText"/>
              <w:rPr>
                <w:b/>
              </w:rPr>
            </w:pPr>
            <w:r w:rsidRPr="00595829">
              <w:rPr>
                <w:b/>
              </w:rPr>
              <w:t>relocated n=160</w:t>
            </w:r>
          </w:p>
        </w:tc>
      </w:tr>
      <w:tr w:rsidR="00595829" w:rsidRPr="00595829" w:rsidTr="00595829">
        <w:tc>
          <w:tcPr>
            <w:tcW w:w="1336" w:type="pct"/>
            <w:tcBorders>
              <w:top w:val="single" w:sz="4" w:space="0" w:color="auto"/>
              <w:left w:val="single" w:sz="4" w:space="0" w:color="auto"/>
              <w:bottom w:val="single" w:sz="4" w:space="0" w:color="auto"/>
              <w:right w:val="nil"/>
            </w:tcBorders>
            <w:shd w:val="clear" w:color="auto" w:fill="F2F2F2" w:themeFill="background1" w:themeFillShade="F2"/>
          </w:tcPr>
          <w:p w:rsidR="006A3B93" w:rsidRPr="00595829" w:rsidRDefault="00595829" w:rsidP="00595829">
            <w:pPr>
              <w:pStyle w:val="TableText"/>
              <w:rPr>
                <w:b/>
              </w:rPr>
            </w:pPr>
            <w:r w:rsidRPr="00595829">
              <w:rPr>
                <w:b/>
              </w:rPr>
              <w:t>Total income</w:t>
            </w:r>
          </w:p>
        </w:tc>
        <w:tc>
          <w:tcPr>
            <w:tcW w:w="611" w:type="pct"/>
            <w:tcBorders>
              <w:top w:val="single" w:sz="4" w:space="0" w:color="auto"/>
              <w:left w:val="nil"/>
              <w:bottom w:val="single" w:sz="4" w:space="0" w:color="auto"/>
              <w:right w:val="nil"/>
            </w:tcBorders>
            <w:shd w:val="clear" w:color="auto" w:fill="F2F2F2" w:themeFill="background1" w:themeFillShade="F2"/>
          </w:tcPr>
          <w:p w:rsidR="006A3B93" w:rsidRPr="00595829" w:rsidRDefault="006A3B93" w:rsidP="00595829">
            <w:pPr>
              <w:pStyle w:val="TableText"/>
            </w:pPr>
          </w:p>
        </w:tc>
        <w:tc>
          <w:tcPr>
            <w:tcW w:w="611" w:type="pct"/>
            <w:tcBorders>
              <w:top w:val="single" w:sz="4" w:space="0" w:color="auto"/>
              <w:left w:val="nil"/>
              <w:bottom w:val="single" w:sz="4" w:space="0" w:color="auto"/>
              <w:right w:val="nil"/>
            </w:tcBorders>
            <w:shd w:val="clear" w:color="auto" w:fill="F2F2F2" w:themeFill="background1" w:themeFillShade="F2"/>
          </w:tcPr>
          <w:p w:rsidR="006A3B93" w:rsidRPr="00595829" w:rsidRDefault="006A3B93" w:rsidP="00595829">
            <w:pPr>
              <w:pStyle w:val="TableText"/>
            </w:pPr>
          </w:p>
        </w:tc>
        <w:tc>
          <w:tcPr>
            <w:tcW w:w="611" w:type="pct"/>
            <w:tcBorders>
              <w:top w:val="single" w:sz="4" w:space="0" w:color="auto"/>
              <w:left w:val="nil"/>
              <w:bottom w:val="single" w:sz="4" w:space="0" w:color="auto"/>
              <w:right w:val="nil"/>
            </w:tcBorders>
            <w:shd w:val="clear" w:color="auto" w:fill="F2F2F2" w:themeFill="background1" w:themeFillShade="F2"/>
          </w:tcPr>
          <w:p w:rsidR="006A3B93" w:rsidRPr="00595829" w:rsidRDefault="006A3B93" w:rsidP="00595829">
            <w:pPr>
              <w:pStyle w:val="TableText"/>
            </w:pPr>
          </w:p>
        </w:tc>
        <w:tc>
          <w:tcPr>
            <w:tcW w:w="611" w:type="pct"/>
            <w:tcBorders>
              <w:top w:val="single" w:sz="4" w:space="0" w:color="auto"/>
              <w:left w:val="nil"/>
              <w:bottom w:val="single" w:sz="4" w:space="0" w:color="auto"/>
              <w:right w:val="nil"/>
            </w:tcBorders>
            <w:shd w:val="clear" w:color="auto" w:fill="F2F2F2" w:themeFill="background1" w:themeFillShade="F2"/>
          </w:tcPr>
          <w:p w:rsidR="006A3B93" w:rsidRPr="00595829" w:rsidRDefault="006A3B93" w:rsidP="00595829">
            <w:pPr>
              <w:pStyle w:val="TableText"/>
            </w:pPr>
          </w:p>
        </w:tc>
        <w:tc>
          <w:tcPr>
            <w:tcW w:w="611" w:type="pct"/>
            <w:tcBorders>
              <w:top w:val="single" w:sz="4" w:space="0" w:color="auto"/>
              <w:left w:val="nil"/>
              <w:bottom w:val="single" w:sz="4" w:space="0" w:color="auto"/>
              <w:right w:val="nil"/>
            </w:tcBorders>
            <w:shd w:val="clear" w:color="auto" w:fill="F2F2F2" w:themeFill="background1" w:themeFillShade="F2"/>
          </w:tcPr>
          <w:p w:rsidR="006A3B93" w:rsidRPr="00595829" w:rsidRDefault="006A3B93" w:rsidP="00595829">
            <w:pPr>
              <w:pStyle w:val="TableText"/>
            </w:pPr>
          </w:p>
        </w:tc>
        <w:tc>
          <w:tcPr>
            <w:tcW w:w="609" w:type="pct"/>
            <w:tcBorders>
              <w:top w:val="single" w:sz="4" w:space="0" w:color="auto"/>
              <w:left w:val="nil"/>
              <w:bottom w:val="single" w:sz="4" w:space="0" w:color="auto"/>
              <w:right w:val="single" w:sz="4" w:space="0" w:color="auto"/>
            </w:tcBorders>
            <w:shd w:val="clear" w:color="auto" w:fill="F2F2F2" w:themeFill="background1" w:themeFillShade="F2"/>
          </w:tcPr>
          <w:p w:rsidR="006A3B93" w:rsidRPr="00595829" w:rsidRDefault="006A3B93" w:rsidP="00595829">
            <w:pPr>
              <w:pStyle w:val="TableText"/>
            </w:pPr>
          </w:p>
        </w:tc>
      </w:tr>
      <w:tr w:rsidR="00595829" w:rsidRPr="006A3B93" w:rsidTr="00595829">
        <w:tc>
          <w:tcPr>
            <w:tcW w:w="1336" w:type="pct"/>
            <w:tcBorders>
              <w:top w:val="single" w:sz="4" w:space="0" w:color="auto"/>
            </w:tcBorders>
          </w:tcPr>
          <w:p w:rsidR="00595829" w:rsidRPr="006A3B93" w:rsidRDefault="00595829" w:rsidP="00595829">
            <w:pPr>
              <w:pStyle w:val="TableText"/>
            </w:pPr>
            <w:r>
              <w:t>$Mean</w:t>
            </w:r>
          </w:p>
        </w:tc>
        <w:tc>
          <w:tcPr>
            <w:tcW w:w="611" w:type="pct"/>
            <w:tcBorders>
              <w:top w:val="single" w:sz="4" w:space="0" w:color="auto"/>
            </w:tcBorders>
          </w:tcPr>
          <w:p w:rsidR="00595829" w:rsidRDefault="00595829" w:rsidP="00595829">
            <w:pPr>
              <w:pStyle w:val="TableText"/>
            </w:pPr>
            <w:r>
              <w:rPr>
                <w:w w:val="105"/>
              </w:rPr>
              <w:t>359</w:t>
            </w:r>
          </w:p>
        </w:tc>
        <w:tc>
          <w:tcPr>
            <w:tcW w:w="611" w:type="pct"/>
            <w:tcBorders>
              <w:top w:val="single" w:sz="4" w:space="0" w:color="auto"/>
            </w:tcBorders>
          </w:tcPr>
          <w:p w:rsidR="00595829" w:rsidRDefault="00595829" w:rsidP="00595829">
            <w:pPr>
              <w:pStyle w:val="TableText"/>
            </w:pPr>
            <w:r>
              <w:rPr>
                <w:w w:val="105"/>
              </w:rPr>
              <w:t>338</w:t>
            </w:r>
          </w:p>
        </w:tc>
        <w:tc>
          <w:tcPr>
            <w:tcW w:w="611" w:type="pct"/>
            <w:tcBorders>
              <w:top w:val="single" w:sz="4" w:space="0" w:color="auto"/>
            </w:tcBorders>
          </w:tcPr>
          <w:p w:rsidR="00595829" w:rsidRDefault="00595829" w:rsidP="00595829">
            <w:pPr>
              <w:pStyle w:val="TableText"/>
            </w:pPr>
            <w:r>
              <w:rPr>
                <w:w w:val="105"/>
              </w:rPr>
              <w:t>461</w:t>
            </w:r>
          </w:p>
        </w:tc>
        <w:tc>
          <w:tcPr>
            <w:tcW w:w="611" w:type="pct"/>
            <w:tcBorders>
              <w:top w:val="single" w:sz="4" w:space="0" w:color="auto"/>
            </w:tcBorders>
          </w:tcPr>
          <w:p w:rsidR="00595829" w:rsidRDefault="00595829" w:rsidP="00595829">
            <w:pPr>
              <w:pStyle w:val="TableText"/>
            </w:pPr>
            <w:r>
              <w:rPr>
                <w:w w:val="105"/>
              </w:rPr>
              <w:t>1035</w:t>
            </w:r>
          </w:p>
        </w:tc>
        <w:tc>
          <w:tcPr>
            <w:tcW w:w="611" w:type="pct"/>
            <w:tcBorders>
              <w:top w:val="single" w:sz="4" w:space="0" w:color="auto"/>
            </w:tcBorders>
          </w:tcPr>
          <w:p w:rsidR="00595829" w:rsidRDefault="00595829" w:rsidP="00595829">
            <w:pPr>
              <w:pStyle w:val="TableText"/>
            </w:pPr>
            <w:r>
              <w:rPr>
                <w:w w:val="105"/>
              </w:rPr>
              <w:t>708</w:t>
            </w:r>
          </w:p>
        </w:tc>
        <w:tc>
          <w:tcPr>
            <w:tcW w:w="609" w:type="pct"/>
            <w:tcBorders>
              <w:top w:val="single" w:sz="4" w:space="0" w:color="auto"/>
            </w:tcBorders>
          </w:tcPr>
          <w:p w:rsidR="00595829" w:rsidRDefault="00595829" w:rsidP="00595829">
            <w:pPr>
              <w:pStyle w:val="TableText"/>
            </w:pPr>
            <w:r>
              <w:rPr>
                <w:w w:val="105"/>
              </w:rPr>
              <w:t>1084</w:t>
            </w:r>
          </w:p>
        </w:tc>
      </w:tr>
      <w:tr w:rsidR="00595829" w:rsidRPr="006A3B93" w:rsidTr="00595829">
        <w:tc>
          <w:tcPr>
            <w:tcW w:w="1336" w:type="pct"/>
            <w:tcBorders>
              <w:bottom w:val="single" w:sz="4" w:space="0" w:color="auto"/>
            </w:tcBorders>
          </w:tcPr>
          <w:p w:rsidR="00595829" w:rsidRPr="006A3B93" w:rsidRDefault="00595829" w:rsidP="00595829">
            <w:pPr>
              <w:pStyle w:val="TableText"/>
            </w:pPr>
            <w:r w:rsidRPr="006A3B93">
              <w:t>Median</w:t>
            </w:r>
          </w:p>
        </w:tc>
        <w:tc>
          <w:tcPr>
            <w:tcW w:w="611" w:type="pct"/>
            <w:tcBorders>
              <w:bottom w:val="single" w:sz="4" w:space="0" w:color="auto"/>
            </w:tcBorders>
          </w:tcPr>
          <w:p w:rsidR="00595829" w:rsidRDefault="00595829" w:rsidP="00595829">
            <w:pPr>
              <w:pStyle w:val="TableText"/>
            </w:pPr>
            <w:r>
              <w:rPr>
                <w:w w:val="105"/>
              </w:rPr>
              <w:t>300</w:t>
            </w:r>
          </w:p>
        </w:tc>
        <w:tc>
          <w:tcPr>
            <w:tcW w:w="611" w:type="pct"/>
            <w:tcBorders>
              <w:bottom w:val="single" w:sz="4" w:space="0" w:color="auto"/>
            </w:tcBorders>
          </w:tcPr>
          <w:p w:rsidR="00595829" w:rsidRDefault="00595829" w:rsidP="00595829">
            <w:pPr>
              <w:pStyle w:val="TableText"/>
            </w:pPr>
            <w:r>
              <w:rPr>
                <w:w w:val="105"/>
              </w:rPr>
              <w:t>300</w:t>
            </w:r>
          </w:p>
        </w:tc>
        <w:tc>
          <w:tcPr>
            <w:tcW w:w="611" w:type="pct"/>
            <w:tcBorders>
              <w:bottom w:val="single" w:sz="4" w:space="0" w:color="auto"/>
            </w:tcBorders>
          </w:tcPr>
          <w:p w:rsidR="00595829" w:rsidRDefault="00595829" w:rsidP="00595829">
            <w:pPr>
              <w:pStyle w:val="TableText"/>
            </w:pPr>
            <w:r>
              <w:rPr>
                <w:w w:val="105"/>
              </w:rPr>
              <w:t>350</w:t>
            </w:r>
          </w:p>
        </w:tc>
        <w:tc>
          <w:tcPr>
            <w:tcW w:w="611" w:type="pct"/>
            <w:tcBorders>
              <w:bottom w:val="single" w:sz="4" w:space="0" w:color="auto"/>
            </w:tcBorders>
          </w:tcPr>
          <w:p w:rsidR="00595829" w:rsidRDefault="00595829" w:rsidP="00595829">
            <w:pPr>
              <w:pStyle w:val="TableText"/>
            </w:pPr>
            <w:r>
              <w:rPr>
                <w:w w:val="105"/>
              </w:rPr>
              <w:t>995</w:t>
            </w:r>
          </w:p>
        </w:tc>
        <w:tc>
          <w:tcPr>
            <w:tcW w:w="611" w:type="pct"/>
            <w:tcBorders>
              <w:bottom w:val="single" w:sz="4" w:space="0" w:color="auto"/>
            </w:tcBorders>
          </w:tcPr>
          <w:p w:rsidR="00595829" w:rsidRDefault="00595829" w:rsidP="00595829">
            <w:pPr>
              <w:pStyle w:val="TableText"/>
            </w:pPr>
            <w:r>
              <w:rPr>
                <w:w w:val="105"/>
              </w:rPr>
              <w:t>556</w:t>
            </w:r>
          </w:p>
        </w:tc>
        <w:tc>
          <w:tcPr>
            <w:tcW w:w="609" w:type="pct"/>
            <w:tcBorders>
              <w:bottom w:val="single" w:sz="4" w:space="0" w:color="auto"/>
            </w:tcBorders>
          </w:tcPr>
          <w:p w:rsidR="00595829" w:rsidRDefault="00595829" w:rsidP="00595829">
            <w:pPr>
              <w:pStyle w:val="TableText"/>
            </w:pPr>
            <w:r>
              <w:rPr>
                <w:w w:val="105"/>
              </w:rPr>
              <w:t>1000</w:t>
            </w:r>
          </w:p>
        </w:tc>
      </w:tr>
      <w:tr w:rsidR="00595829" w:rsidRPr="00595829" w:rsidTr="00595829">
        <w:tc>
          <w:tcPr>
            <w:tcW w:w="1336" w:type="pct"/>
            <w:tcBorders>
              <w:top w:val="single" w:sz="4" w:space="0" w:color="auto"/>
              <w:left w:val="single" w:sz="4" w:space="0" w:color="auto"/>
              <w:bottom w:val="single" w:sz="4" w:space="0" w:color="auto"/>
              <w:right w:val="nil"/>
            </w:tcBorders>
            <w:shd w:val="clear" w:color="auto" w:fill="F2F2F2" w:themeFill="background1" w:themeFillShade="F2"/>
          </w:tcPr>
          <w:p w:rsidR="00595829" w:rsidRPr="00595829" w:rsidRDefault="00595829" w:rsidP="00595829">
            <w:pPr>
              <w:pStyle w:val="TableText"/>
              <w:rPr>
                <w:b/>
              </w:rPr>
            </w:pPr>
            <w:r w:rsidRPr="00595829">
              <w:rPr>
                <w:b/>
              </w:rPr>
              <w:t>Government allowances</w:t>
            </w:r>
          </w:p>
        </w:tc>
        <w:tc>
          <w:tcPr>
            <w:tcW w:w="611" w:type="pct"/>
            <w:tcBorders>
              <w:top w:val="single" w:sz="4" w:space="0" w:color="auto"/>
              <w:left w:val="nil"/>
              <w:bottom w:val="single" w:sz="4" w:space="0" w:color="auto"/>
              <w:right w:val="nil"/>
            </w:tcBorders>
            <w:shd w:val="clear" w:color="auto" w:fill="F2F2F2" w:themeFill="background1" w:themeFillShade="F2"/>
          </w:tcPr>
          <w:p w:rsidR="00595829" w:rsidRPr="00595829" w:rsidRDefault="00595829" w:rsidP="00595829">
            <w:pPr>
              <w:pStyle w:val="TableText"/>
            </w:pPr>
          </w:p>
        </w:tc>
        <w:tc>
          <w:tcPr>
            <w:tcW w:w="611" w:type="pct"/>
            <w:tcBorders>
              <w:top w:val="single" w:sz="4" w:space="0" w:color="auto"/>
              <w:left w:val="nil"/>
              <w:bottom w:val="single" w:sz="4" w:space="0" w:color="auto"/>
              <w:right w:val="nil"/>
            </w:tcBorders>
            <w:shd w:val="clear" w:color="auto" w:fill="F2F2F2" w:themeFill="background1" w:themeFillShade="F2"/>
          </w:tcPr>
          <w:p w:rsidR="00595829" w:rsidRPr="00595829" w:rsidRDefault="00595829" w:rsidP="00595829">
            <w:pPr>
              <w:pStyle w:val="TableText"/>
            </w:pPr>
          </w:p>
        </w:tc>
        <w:tc>
          <w:tcPr>
            <w:tcW w:w="611" w:type="pct"/>
            <w:tcBorders>
              <w:top w:val="single" w:sz="4" w:space="0" w:color="auto"/>
              <w:left w:val="nil"/>
              <w:bottom w:val="single" w:sz="4" w:space="0" w:color="auto"/>
              <w:right w:val="nil"/>
            </w:tcBorders>
            <w:shd w:val="clear" w:color="auto" w:fill="F2F2F2" w:themeFill="background1" w:themeFillShade="F2"/>
          </w:tcPr>
          <w:p w:rsidR="00595829" w:rsidRPr="00595829" w:rsidRDefault="00595829" w:rsidP="00595829">
            <w:pPr>
              <w:pStyle w:val="TableText"/>
            </w:pPr>
          </w:p>
        </w:tc>
        <w:tc>
          <w:tcPr>
            <w:tcW w:w="611" w:type="pct"/>
            <w:tcBorders>
              <w:top w:val="single" w:sz="4" w:space="0" w:color="auto"/>
              <w:left w:val="nil"/>
              <w:bottom w:val="single" w:sz="4" w:space="0" w:color="auto"/>
              <w:right w:val="nil"/>
            </w:tcBorders>
            <w:shd w:val="clear" w:color="auto" w:fill="F2F2F2" w:themeFill="background1" w:themeFillShade="F2"/>
          </w:tcPr>
          <w:p w:rsidR="00595829" w:rsidRPr="00595829" w:rsidRDefault="00595829" w:rsidP="00595829">
            <w:pPr>
              <w:pStyle w:val="TableText"/>
            </w:pPr>
          </w:p>
        </w:tc>
        <w:tc>
          <w:tcPr>
            <w:tcW w:w="611" w:type="pct"/>
            <w:tcBorders>
              <w:top w:val="single" w:sz="4" w:space="0" w:color="auto"/>
              <w:left w:val="nil"/>
              <w:bottom w:val="single" w:sz="4" w:space="0" w:color="auto"/>
              <w:right w:val="nil"/>
            </w:tcBorders>
            <w:shd w:val="clear" w:color="auto" w:fill="F2F2F2" w:themeFill="background1" w:themeFillShade="F2"/>
          </w:tcPr>
          <w:p w:rsidR="00595829" w:rsidRPr="00595829" w:rsidRDefault="00595829" w:rsidP="00595829">
            <w:pPr>
              <w:pStyle w:val="TableText"/>
            </w:pPr>
          </w:p>
        </w:tc>
        <w:tc>
          <w:tcPr>
            <w:tcW w:w="609" w:type="pct"/>
            <w:tcBorders>
              <w:top w:val="single" w:sz="4" w:space="0" w:color="auto"/>
              <w:left w:val="nil"/>
              <w:bottom w:val="single" w:sz="4" w:space="0" w:color="auto"/>
              <w:right w:val="single" w:sz="4" w:space="0" w:color="auto"/>
            </w:tcBorders>
            <w:shd w:val="clear" w:color="auto" w:fill="F2F2F2" w:themeFill="background1" w:themeFillShade="F2"/>
          </w:tcPr>
          <w:p w:rsidR="00595829" w:rsidRPr="00595829" w:rsidRDefault="00595829" w:rsidP="00595829">
            <w:pPr>
              <w:pStyle w:val="TableText"/>
            </w:pPr>
          </w:p>
        </w:tc>
      </w:tr>
      <w:tr w:rsidR="00595829" w:rsidRPr="006A3B93" w:rsidTr="00595829">
        <w:tc>
          <w:tcPr>
            <w:tcW w:w="1336" w:type="pct"/>
            <w:tcBorders>
              <w:top w:val="single" w:sz="4" w:space="0" w:color="auto"/>
            </w:tcBorders>
          </w:tcPr>
          <w:p w:rsidR="00595829" w:rsidRPr="006A3B93" w:rsidRDefault="00595829" w:rsidP="00595829">
            <w:pPr>
              <w:pStyle w:val="TableText"/>
            </w:pPr>
            <w:r w:rsidRPr="006A3B93">
              <w:t>$Mean</w:t>
            </w:r>
          </w:p>
        </w:tc>
        <w:tc>
          <w:tcPr>
            <w:tcW w:w="611" w:type="pct"/>
            <w:tcBorders>
              <w:top w:val="single" w:sz="4" w:space="0" w:color="auto"/>
            </w:tcBorders>
          </w:tcPr>
          <w:p w:rsidR="00595829" w:rsidRPr="006A3B93" w:rsidRDefault="00595829" w:rsidP="00595829">
            <w:pPr>
              <w:pStyle w:val="TableText"/>
            </w:pPr>
          </w:p>
        </w:tc>
        <w:tc>
          <w:tcPr>
            <w:tcW w:w="611" w:type="pct"/>
            <w:tcBorders>
              <w:top w:val="single" w:sz="4" w:space="0" w:color="auto"/>
            </w:tcBorders>
          </w:tcPr>
          <w:p w:rsidR="00595829" w:rsidRDefault="00595829" w:rsidP="00595829">
            <w:pPr>
              <w:pStyle w:val="TableText"/>
              <w:rPr>
                <w:sz w:val="19"/>
              </w:rPr>
            </w:pPr>
            <w:r>
              <w:rPr>
                <w:w w:val="105"/>
                <w:sz w:val="19"/>
              </w:rPr>
              <w:t>239</w:t>
            </w:r>
          </w:p>
        </w:tc>
        <w:tc>
          <w:tcPr>
            <w:tcW w:w="611" w:type="pct"/>
            <w:tcBorders>
              <w:top w:val="single" w:sz="4" w:space="0" w:color="auto"/>
            </w:tcBorders>
          </w:tcPr>
          <w:p w:rsidR="00595829" w:rsidRDefault="00595829" w:rsidP="00595829">
            <w:pPr>
              <w:pStyle w:val="TableText"/>
              <w:rPr>
                <w:sz w:val="19"/>
              </w:rPr>
            </w:pPr>
            <w:r>
              <w:rPr>
                <w:w w:val="105"/>
                <w:sz w:val="19"/>
              </w:rPr>
              <w:t>200</w:t>
            </w:r>
          </w:p>
        </w:tc>
        <w:tc>
          <w:tcPr>
            <w:tcW w:w="611" w:type="pct"/>
            <w:tcBorders>
              <w:top w:val="single" w:sz="4" w:space="0" w:color="auto"/>
            </w:tcBorders>
          </w:tcPr>
          <w:p w:rsidR="00595829" w:rsidRDefault="00595829" w:rsidP="00595829">
            <w:pPr>
              <w:pStyle w:val="TableText"/>
              <w:rPr>
                <w:rFonts w:ascii="Times New Roman"/>
              </w:rPr>
            </w:pPr>
          </w:p>
        </w:tc>
        <w:tc>
          <w:tcPr>
            <w:tcW w:w="611" w:type="pct"/>
            <w:tcBorders>
              <w:top w:val="single" w:sz="4" w:space="0" w:color="auto"/>
            </w:tcBorders>
          </w:tcPr>
          <w:p w:rsidR="00595829" w:rsidRDefault="00595829" w:rsidP="00595829">
            <w:pPr>
              <w:pStyle w:val="TableText"/>
              <w:rPr>
                <w:sz w:val="19"/>
              </w:rPr>
            </w:pPr>
            <w:r>
              <w:rPr>
                <w:w w:val="105"/>
                <w:sz w:val="19"/>
              </w:rPr>
              <w:t>309</w:t>
            </w:r>
          </w:p>
        </w:tc>
        <w:tc>
          <w:tcPr>
            <w:tcW w:w="609" w:type="pct"/>
            <w:tcBorders>
              <w:top w:val="single" w:sz="4" w:space="0" w:color="auto"/>
            </w:tcBorders>
          </w:tcPr>
          <w:p w:rsidR="00595829" w:rsidRDefault="00595829" w:rsidP="00595829">
            <w:pPr>
              <w:pStyle w:val="TableText"/>
              <w:rPr>
                <w:sz w:val="19"/>
              </w:rPr>
            </w:pPr>
            <w:r>
              <w:rPr>
                <w:w w:val="105"/>
                <w:sz w:val="19"/>
              </w:rPr>
              <w:t>313</w:t>
            </w:r>
          </w:p>
        </w:tc>
      </w:tr>
      <w:tr w:rsidR="00595829" w:rsidRPr="006A3B93" w:rsidTr="00595829">
        <w:tc>
          <w:tcPr>
            <w:tcW w:w="1336" w:type="pct"/>
            <w:tcBorders>
              <w:bottom w:val="single" w:sz="4" w:space="0" w:color="auto"/>
            </w:tcBorders>
          </w:tcPr>
          <w:p w:rsidR="00595829" w:rsidRPr="006A3B93" w:rsidRDefault="00595829" w:rsidP="00595829">
            <w:pPr>
              <w:pStyle w:val="TableText"/>
            </w:pPr>
            <w:r w:rsidRPr="006A3B93">
              <w:t>%</w:t>
            </w:r>
          </w:p>
        </w:tc>
        <w:tc>
          <w:tcPr>
            <w:tcW w:w="611" w:type="pct"/>
            <w:tcBorders>
              <w:bottom w:val="single" w:sz="4" w:space="0" w:color="auto"/>
            </w:tcBorders>
          </w:tcPr>
          <w:p w:rsidR="00595829" w:rsidRPr="006A3B93" w:rsidRDefault="00595829" w:rsidP="00595829">
            <w:pPr>
              <w:pStyle w:val="TableText"/>
            </w:pPr>
          </w:p>
        </w:tc>
        <w:tc>
          <w:tcPr>
            <w:tcW w:w="611" w:type="pct"/>
            <w:tcBorders>
              <w:bottom w:val="single" w:sz="4" w:space="0" w:color="auto"/>
            </w:tcBorders>
          </w:tcPr>
          <w:p w:rsidR="00595829" w:rsidRDefault="00595829" w:rsidP="00595829">
            <w:pPr>
              <w:pStyle w:val="TableText"/>
              <w:rPr>
                <w:sz w:val="19"/>
              </w:rPr>
            </w:pPr>
            <w:r>
              <w:rPr>
                <w:w w:val="105"/>
                <w:sz w:val="19"/>
              </w:rPr>
              <w:t>63.9</w:t>
            </w:r>
          </w:p>
        </w:tc>
        <w:tc>
          <w:tcPr>
            <w:tcW w:w="611" w:type="pct"/>
            <w:tcBorders>
              <w:bottom w:val="single" w:sz="4" w:space="0" w:color="auto"/>
            </w:tcBorders>
          </w:tcPr>
          <w:p w:rsidR="00595829" w:rsidRDefault="00595829" w:rsidP="00595829">
            <w:pPr>
              <w:pStyle w:val="TableText"/>
              <w:rPr>
                <w:sz w:val="19"/>
              </w:rPr>
            </w:pPr>
            <w:r>
              <w:rPr>
                <w:w w:val="105"/>
                <w:sz w:val="19"/>
              </w:rPr>
              <w:t>40.8</w:t>
            </w:r>
          </w:p>
        </w:tc>
        <w:tc>
          <w:tcPr>
            <w:tcW w:w="611" w:type="pct"/>
            <w:tcBorders>
              <w:bottom w:val="single" w:sz="4" w:space="0" w:color="auto"/>
            </w:tcBorders>
          </w:tcPr>
          <w:p w:rsidR="00595829" w:rsidRDefault="00595829" w:rsidP="00595829">
            <w:pPr>
              <w:pStyle w:val="TableText"/>
              <w:rPr>
                <w:rFonts w:ascii="Times New Roman"/>
              </w:rPr>
            </w:pPr>
          </w:p>
        </w:tc>
        <w:tc>
          <w:tcPr>
            <w:tcW w:w="611" w:type="pct"/>
            <w:tcBorders>
              <w:bottom w:val="single" w:sz="4" w:space="0" w:color="auto"/>
            </w:tcBorders>
          </w:tcPr>
          <w:p w:rsidR="00595829" w:rsidRDefault="00595829" w:rsidP="00595829">
            <w:pPr>
              <w:pStyle w:val="TableText"/>
              <w:rPr>
                <w:sz w:val="19"/>
              </w:rPr>
            </w:pPr>
            <w:r>
              <w:rPr>
                <w:w w:val="105"/>
                <w:sz w:val="19"/>
              </w:rPr>
              <w:t>45.8</w:t>
            </w:r>
          </w:p>
        </w:tc>
        <w:tc>
          <w:tcPr>
            <w:tcW w:w="609" w:type="pct"/>
            <w:tcBorders>
              <w:bottom w:val="single" w:sz="4" w:space="0" w:color="auto"/>
            </w:tcBorders>
          </w:tcPr>
          <w:p w:rsidR="00595829" w:rsidRDefault="00595829" w:rsidP="00595829">
            <w:pPr>
              <w:pStyle w:val="TableText"/>
              <w:rPr>
                <w:sz w:val="19"/>
              </w:rPr>
            </w:pPr>
            <w:r>
              <w:rPr>
                <w:w w:val="105"/>
                <w:sz w:val="19"/>
              </w:rPr>
              <w:t>38.8</w:t>
            </w:r>
          </w:p>
        </w:tc>
      </w:tr>
      <w:tr w:rsidR="00595829" w:rsidRPr="00595829" w:rsidTr="00595829">
        <w:tc>
          <w:tcPr>
            <w:tcW w:w="1336" w:type="pct"/>
            <w:tcBorders>
              <w:top w:val="single" w:sz="4" w:space="0" w:color="auto"/>
              <w:left w:val="single" w:sz="4" w:space="0" w:color="auto"/>
              <w:bottom w:val="single" w:sz="4" w:space="0" w:color="auto"/>
              <w:right w:val="nil"/>
            </w:tcBorders>
            <w:shd w:val="clear" w:color="auto" w:fill="F2F2F2" w:themeFill="background1" w:themeFillShade="F2"/>
          </w:tcPr>
          <w:p w:rsidR="00595829" w:rsidRPr="00595829" w:rsidRDefault="00595829" w:rsidP="00595829">
            <w:pPr>
              <w:pStyle w:val="TableText"/>
              <w:rPr>
                <w:b/>
              </w:rPr>
            </w:pPr>
            <w:r w:rsidRPr="00595829">
              <w:rPr>
                <w:b/>
              </w:rPr>
              <w:t xml:space="preserve">Own wages </w:t>
            </w:r>
          </w:p>
        </w:tc>
        <w:tc>
          <w:tcPr>
            <w:tcW w:w="611" w:type="pct"/>
            <w:tcBorders>
              <w:top w:val="single" w:sz="4" w:space="0" w:color="auto"/>
              <w:left w:val="nil"/>
              <w:bottom w:val="single" w:sz="4" w:space="0" w:color="auto"/>
              <w:right w:val="nil"/>
            </w:tcBorders>
            <w:shd w:val="clear" w:color="auto" w:fill="F2F2F2" w:themeFill="background1" w:themeFillShade="F2"/>
          </w:tcPr>
          <w:p w:rsidR="00595829" w:rsidRPr="00595829" w:rsidRDefault="00595829" w:rsidP="00595829">
            <w:pPr>
              <w:pStyle w:val="TableText"/>
            </w:pPr>
          </w:p>
        </w:tc>
        <w:tc>
          <w:tcPr>
            <w:tcW w:w="611" w:type="pct"/>
            <w:tcBorders>
              <w:top w:val="single" w:sz="4" w:space="0" w:color="auto"/>
              <w:left w:val="nil"/>
              <w:bottom w:val="single" w:sz="4" w:space="0" w:color="auto"/>
              <w:right w:val="nil"/>
            </w:tcBorders>
            <w:shd w:val="clear" w:color="auto" w:fill="F2F2F2" w:themeFill="background1" w:themeFillShade="F2"/>
          </w:tcPr>
          <w:p w:rsidR="00595829" w:rsidRDefault="00595829" w:rsidP="00595829">
            <w:pPr>
              <w:pStyle w:val="TableText"/>
              <w:rPr>
                <w:sz w:val="19"/>
              </w:rPr>
            </w:pPr>
          </w:p>
        </w:tc>
        <w:tc>
          <w:tcPr>
            <w:tcW w:w="611" w:type="pct"/>
            <w:tcBorders>
              <w:top w:val="single" w:sz="4" w:space="0" w:color="auto"/>
              <w:left w:val="nil"/>
              <w:bottom w:val="single" w:sz="4" w:space="0" w:color="auto"/>
              <w:right w:val="nil"/>
            </w:tcBorders>
            <w:shd w:val="clear" w:color="auto" w:fill="F2F2F2" w:themeFill="background1" w:themeFillShade="F2"/>
          </w:tcPr>
          <w:p w:rsidR="00595829" w:rsidRDefault="00595829" w:rsidP="00595829">
            <w:pPr>
              <w:pStyle w:val="TableText"/>
              <w:rPr>
                <w:sz w:val="19"/>
              </w:rPr>
            </w:pPr>
          </w:p>
        </w:tc>
        <w:tc>
          <w:tcPr>
            <w:tcW w:w="611" w:type="pct"/>
            <w:tcBorders>
              <w:top w:val="single" w:sz="4" w:space="0" w:color="auto"/>
              <w:left w:val="nil"/>
              <w:bottom w:val="single" w:sz="4" w:space="0" w:color="auto"/>
              <w:right w:val="nil"/>
            </w:tcBorders>
            <w:shd w:val="clear" w:color="auto" w:fill="F2F2F2" w:themeFill="background1" w:themeFillShade="F2"/>
          </w:tcPr>
          <w:p w:rsidR="00595829" w:rsidRDefault="00595829" w:rsidP="00595829">
            <w:pPr>
              <w:pStyle w:val="TableText"/>
              <w:rPr>
                <w:rFonts w:ascii="Times New Roman"/>
              </w:rPr>
            </w:pPr>
          </w:p>
        </w:tc>
        <w:tc>
          <w:tcPr>
            <w:tcW w:w="611" w:type="pct"/>
            <w:tcBorders>
              <w:top w:val="single" w:sz="4" w:space="0" w:color="auto"/>
              <w:left w:val="nil"/>
              <w:bottom w:val="single" w:sz="4" w:space="0" w:color="auto"/>
              <w:right w:val="nil"/>
            </w:tcBorders>
            <w:shd w:val="clear" w:color="auto" w:fill="F2F2F2" w:themeFill="background1" w:themeFillShade="F2"/>
          </w:tcPr>
          <w:p w:rsidR="00595829" w:rsidRDefault="00595829" w:rsidP="00595829">
            <w:pPr>
              <w:pStyle w:val="TableText"/>
              <w:rPr>
                <w:sz w:val="19"/>
              </w:rPr>
            </w:pPr>
          </w:p>
        </w:tc>
        <w:tc>
          <w:tcPr>
            <w:tcW w:w="609" w:type="pct"/>
            <w:tcBorders>
              <w:top w:val="single" w:sz="4" w:space="0" w:color="auto"/>
              <w:left w:val="nil"/>
              <w:bottom w:val="single" w:sz="4" w:space="0" w:color="auto"/>
              <w:right w:val="single" w:sz="4" w:space="0" w:color="auto"/>
            </w:tcBorders>
            <w:shd w:val="clear" w:color="auto" w:fill="F2F2F2" w:themeFill="background1" w:themeFillShade="F2"/>
          </w:tcPr>
          <w:p w:rsidR="00595829" w:rsidRDefault="00595829" w:rsidP="00595829">
            <w:pPr>
              <w:pStyle w:val="TableText"/>
              <w:rPr>
                <w:sz w:val="19"/>
              </w:rPr>
            </w:pPr>
          </w:p>
        </w:tc>
      </w:tr>
      <w:tr w:rsidR="00595829" w:rsidRPr="006A3B93" w:rsidTr="00595829">
        <w:tc>
          <w:tcPr>
            <w:tcW w:w="1336" w:type="pct"/>
            <w:tcBorders>
              <w:top w:val="single" w:sz="4" w:space="0" w:color="auto"/>
            </w:tcBorders>
          </w:tcPr>
          <w:p w:rsidR="00595829" w:rsidRPr="006A3B93" w:rsidRDefault="00595829" w:rsidP="00595829">
            <w:pPr>
              <w:pStyle w:val="TableText"/>
            </w:pPr>
            <w:r w:rsidRPr="006A3B93">
              <w:t>$Mean</w:t>
            </w:r>
          </w:p>
        </w:tc>
        <w:tc>
          <w:tcPr>
            <w:tcW w:w="611" w:type="pct"/>
            <w:tcBorders>
              <w:top w:val="single" w:sz="4" w:space="0" w:color="auto"/>
            </w:tcBorders>
          </w:tcPr>
          <w:p w:rsidR="00595829" w:rsidRDefault="00595829" w:rsidP="00595829">
            <w:pPr>
              <w:pStyle w:val="TableText"/>
            </w:pPr>
          </w:p>
        </w:tc>
        <w:tc>
          <w:tcPr>
            <w:tcW w:w="611" w:type="pct"/>
            <w:tcBorders>
              <w:top w:val="single" w:sz="4" w:space="0" w:color="auto"/>
            </w:tcBorders>
          </w:tcPr>
          <w:p w:rsidR="00595829" w:rsidRDefault="00595829" w:rsidP="00595829">
            <w:pPr>
              <w:pStyle w:val="TableText"/>
              <w:rPr>
                <w:sz w:val="19"/>
              </w:rPr>
            </w:pPr>
            <w:r>
              <w:rPr>
                <w:w w:val="105"/>
                <w:sz w:val="19"/>
              </w:rPr>
              <w:t>227</w:t>
            </w:r>
          </w:p>
        </w:tc>
        <w:tc>
          <w:tcPr>
            <w:tcW w:w="611" w:type="pct"/>
            <w:tcBorders>
              <w:top w:val="single" w:sz="4" w:space="0" w:color="auto"/>
            </w:tcBorders>
          </w:tcPr>
          <w:p w:rsidR="00595829" w:rsidRDefault="00595829" w:rsidP="00595829">
            <w:pPr>
              <w:pStyle w:val="TableText"/>
              <w:rPr>
                <w:sz w:val="19"/>
              </w:rPr>
            </w:pPr>
            <w:r>
              <w:rPr>
                <w:w w:val="105"/>
                <w:sz w:val="19"/>
              </w:rPr>
              <w:t>322</w:t>
            </w:r>
          </w:p>
        </w:tc>
        <w:tc>
          <w:tcPr>
            <w:tcW w:w="611" w:type="pct"/>
            <w:tcBorders>
              <w:top w:val="single" w:sz="4" w:space="0" w:color="auto"/>
            </w:tcBorders>
          </w:tcPr>
          <w:p w:rsidR="00595829" w:rsidRDefault="00595829" w:rsidP="00595829">
            <w:pPr>
              <w:pStyle w:val="TableText"/>
            </w:pPr>
          </w:p>
        </w:tc>
        <w:tc>
          <w:tcPr>
            <w:tcW w:w="611" w:type="pct"/>
            <w:tcBorders>
              <w:top w:val="single" w:sz="4" w:space="0" w:color="auto"/>
            </w:tcBorders>
          </w:tcPr>
          <w:p w:rsidR="00595829" w:rsidRDefault="00595829" w:rsidP="00595829">
            <w:pPr>
              <w:pStyle w:val="TableText"/>
              <w:rPr>
                <w:sz w:val="19"/>
              </w:rPr>
            </w:pPr>
            <w:r>
              <w:rPr>
                <w:w w:val="105"/>
                <w:sz w:val="19"/>
              </w:rPr>
              <w:t>414</w:t>
            </w:r>
          </w:p>
        </w:tc>
        <w:tc>
          <w:tcPr>
            <w:tcW w:w="609" w:type="pct"/>
            <w:tcBorders>
              <w:top w:val="single" w:sz="4" w:space="0" w:color="auto"/>
            </w:tcBorders>
          </w:tcPr>
          <w:p w:rsidR="00595829" w:rsidRDefault="00595829" w:rsidP="00595829">
            <w:pPr>
              <w:pStyle w:val="TableText"/>
              <w:rPr>
                <w:sz w:val="19"/>
              </w:rPr>
            </w:pPr>
            <w:r>
              <w:rPr>
                <w:w w:val="105"/>
                <w:sz w:val="19"/>
              </w:rPr>
              <w:t>774</w:t>
            </w:r>
          </w:p>
        </w:tc>
      </w:tr>
      <w:tr w:rsidR="00595829" w:rsidRPr="006A3B93" w:rsidTr="00595829">
        <w:tc>
          <w:tcPr>
            <w:tcW w:w="1336" w:type="pct"/>
            <w:tcBorders>
              <w:bottom w:val="single" w:sz="4" w:space="0" w:color="auto"/>
            </w:tcBorders>
          </w:tcPr>
          <w:p w:rsidR="00595829" w:rsidRPr="006A3B93" w:rsidRDefault="00595829" w:rsidP="00595829">
            <w:pPr>
              <w:pStyle w:val="TableText"/>
            </w:pPr>
            <w:r w:rsidRPr="006A3B93">
              <w:t>%</w:t>
            </w:r>
          </w:p>
        </w:tc>
        <w:tc>
          <w:tcPr>
            <w:tcW w:w="611" w:type="pct"/>
            <w:tcBorders>
              <w:bottom w:val="single" w:sz="4" w:space="0" w:color="auto"/>
            </w:tcBorders>
          </w:tcPr>
          <w:p w:rsidR="00595829" w:rsidRDefault="00595829" w:rsidP="00595829">
            <w:pPr>
              <w:pStyle w:val="TableText"/>
            </w:pPr>
          </w:p>
        </w:tc>
        <w:tc>
          <w:tcPr>
            <w:tcW w:w="611" w:type="pct"/>
            <w:tcBorders>
              <w:bottom w:val="single" w:sz="4" w:space="0" w:color="auto"/>
            </w:tcBorders>
          </w:tcPr>
          <w:p w:rsidR="00595829" w:rsidRDefault="00595829" w:rsidP="00595829">
            <w:pPr>
              <w:pStyle w:val="TableText"/>
              <w:rPr>
                <w:sz w:val="19"/>
              </w:rPr>
            </w:pPr>
            <w:r>
              <w:rPr>
                <w:w w:val="105"/>
                <w:sz w:val="19"/>
              </w:rPr>
              <w:t>57.5</w:t>
            </w:r>
          </w:p>
        </w:tc>
        <w:tc>
          <w:tcPr>
            <w:tcW w:w="611" w:type="pct"/>
            <w:tcBorders>
              <w:bottom w:val="single" w:sz="4" w:space="0" w:color="auto"/>
            </w:tcBorders>
          </w:tcPr>
          <w:p w:rsidR="00595829" w:rsidRDefault="00595829" w:rsidP="00595829">
            <w:pPr>
              <w:pStyle w:val="TableText"/>
              <w:rPr>
                <w:sz w:val="19"/>
              </w:rPr>
            </w:pPr>
            <w:r>
              <w:rPr>
                <w:w w:val="105"/>
                <w:sz w:val="19"/>
              </w:rPr>
              <w:t>97.9</w:t>
            </w:r>
          </w:p>
        </w:tc>
        <w:tc>
          <w:tcPr>
            <w:tcW w:w="611" w:type="pct"/>
            <w:tcBorders>
              <w:bottom w:val="single" w:sz="4" w:space="0" w:color="auto"/>
            </w:tcBorders>
          </w:tcPr>
          <w:p w:rsidR="00595829" w:rsidRDefault="00595829" w:rsidP="00595829">
            <w:pPr>
              <w:pStyle w:val="TableText"/>
            </w:pPr>
          </w:p>
        </w:tc>
        <w:tc>
          <w:tcPr>
            <w:tcW w:w="611" w:type="pct"/>
            <w:tcBorders>
              <w:bottom w:val="single" w:sz="4" w:space="0" w:color="auto"/>
            </w:tcBorders>
          </w:tcPr>
          <w:p w:rsidR="00595829" w:rsidRDefault="00595829" w:rsidP="00595829">
            <w:pPr>
              <w:pStyle w:val="TableText"/>
              <w:rPr>
                <w:sz w:val="19"/>
              </w:rPr>
            </w:pPr>
            <w:r>
              <w:rPr>
                <w:w w:val="105"/>
                <w:sz w:val="19"/>
              </w:rPr>
              <w:t>79.2</w:t>
            </w:r>
          </w:p>
        </w:tc>
        <w:tc>
          <w:tcPr>
            <w:tcW w:w="609" w:type="pct"/>
            <w:tcBorders>
              <w:bottom w:val="single" w:sz="4" w:space="0" w:color="auto"/>
            </w:tcBorders>
          </w:tcPr>
          <w:p w:rsidR="00595829" w:rsidRDefault="00595829" w:rsidP="00595829">
            <w:pPr>
              <w:pStyle w:val="TableText"/>
              <w:rPr>
                <w:sz w:val="19"/>
              </w:rPr>
            </w:pPr>
            <w:r>
              <w:rPr>
                <w:w w:val="105"/>
                <w:sz w:val="19"/>
              </w:rPr>
              <w:t>71.3</w:t>
            </w:r>
          </w:p>
        </w:tc>
      </w:tr>
      <w:tr w:rsidR="00595829" w:rsidRPr="00595829" w:rsidTr="00595829">
        <w:tc>
          <w:tcPr>
            <w:tcW w:w="1336" w:type="pct"/>
            <w:tcBorders>
              <w:top w:val="single" w:sz="4" w:space="0" w:color="auto"/>
              <w:left w:val="single" w:sz="4" w:space="0" w:color="auto"/>
              <w:bottom w:val="single" w:sz="4" w:space="0" w:color="auto"/>
              <w:right w:val="nil"/>
            </w:tcBorders>
            <w:shd w:val="clear" w:color="auto" w:fill="F2F2F2" w:themeFill="background1" w:themeFillShade="F2"/>
          </w:tcPr>
          <w:p w:rsidR="00595829" w:rsidRPr="00595829" w:rsidRDefault="00595829" w:rsidP="00595829">
            <w:pPr>
              <w:pStyle w:val="TableText"/>
              <w:rPr>
                <w:b/>
              </w:rPr>
            </w:pPr>
            <w:r w:rsidRPr="00595829">
              <w:rPr>
                <w:b/>
              </w:rPr>
              <w:t xml:space="preserve">Partner’s wages </w:t>
            </w:r>
          </w:p>
        </w:tc>
        <w:tc>
          <w:tcPr>
            <w:tcW w:w="611" w:type="pct"/>
            <w:tcBorders>
              <w:top w:val="single" w:sz="4" w:space="0" w:color="auto"/>
              <w:left w:val="nil"/>
              <w:bottom w:val="single" w:sz="4" w:space="0" w:color="auto"/>
              <w:right w:val="nil"/>
            </w:tcBorders>
            <w:shd w:val="clear" w:color="auto" w:fill="F2F2F2" w:themeFill="background1" w:themeFillShade="F2"/>
          </w:tcPr>
          <w:p w:rsidR="00595829" w:rsidRPr="00595829" w:rsidRDefault="00595829" w:rsidP="00595829">
            <w:pPr>
              <w:pStyle w:val="TableText"/>
            </w:pPr>
          </w:p>
        </w:tc>
        <w:tc>
          <w:tcPr>
            <w:tcW w:w="611" w:type="pct"/>
            <w:tcBorders>
              <w:top w:val="single" w:sz="4" w:space="0" w:color="auto"/>
              <w:left w:val="nil"/>
              <w:bottom w:val="single" w:sz="4" w:space="0" w:color="auto"/>
              <w:right w:val="nil"/>
            </w:tcBorders>
            <w:shd w:val="clear" w:color="auto" w:fill="F2F2F2" w:themeFill="background1" w:themeFillShade="F2"/>
          </w:tcPr>
          <w:p w:rsidR="00595829" w:rsidRPr="00595829" w:rsidRDefault="00595829" w:rsidP="00595829">
            <w:pPr>
              <w:pStyle w:val="TableText"/>
            </w:pPr>
          </w:p>
        </w:tc>
        <w:tc>
          <w:tcPr>
            <w:tcW w:w="611" w:type="pct"/>
            <w:tcBorders>
              <w:top w:val="single" w:sz="4" w:space="0" w:color="auto"/>
              <w:left w:val="nil"/>
              <w:bottom w:val="single" w:sz="4" w:space="0" w:color="auto"/>
              <w:right w:val="nil"/>
            </w:tcBorders>
            <w:shd w:val="clear" w:color="auto" w:fill="F2F2F2" w:themeFill="background1" w:themeFillShade="F2"/>
          </w:tcPr>
          <w:p w:rsidR="00595829" w:rsidRPr="00595829" w:rsidRDefault="00595829" w:rsidP="00595829">
            <w:pPr>
              <w:pStyle w:val="TableText"/>
            </w:pPr>
          </w:p>
        </w:tc>
        <w:tc>
          <w:tcPr>
            <w:tcW w:w="611" w:type="pct"/>
            <w:tcBorders>
              <w:top w:val="single" w:sz="4" w:space="0" w:color="auto"/>
              <w:left w:val="nil"/>
              <w:bottom w:val="single" w:sz="4" w:space="0" w:color="auto"/>
              <w:right w:val="nil"/>
            </w:tcBorders>
            <w:shd w:val="clear" w:color="auto" w:fill="F2F2F2" w:themeFill="background1" w:themeFillShade="F2"/>
          </w:tcPr>
          <w:p w:rsidR="00595829" w:rsidRPr="00595829" w:rsidRDefault="00595829" w:rsidP="00595829">
            <w:pPr>
              <w:pStyle w:val="TableText"/>
            </w:pPr>
          </w:p>
        </w:tc>
        <w:tc>
          <w:tcPr>
            <w:tcW w:w="611" w:type="pct"/>
            <w:tcBorders>
              <w:top w:val="single" w:sz="4" w:space="0" w:color="auto"/>
              <w:left w:val="nil"/>
              <w:bottom w:val="single" w:sz="4" w:space="0" w:color="auto"/>
              <w:right w:val="nil"/>
            </w:tcBorders>
            <w:shd w:val="clear" w:color="auto" w:fill="F2F2F2" w:themeFill="background1" w:themeFillShade="F2"/>
          </w:tcPr>
          <w:p w:rsidR="00595829" w:rsidRPr="00595829" w:rsidRDefault="00595829" w:rsidP="00595829">
            <w:pPr>
              <w:pStyle w:val="TableText"/>
            </w:pPr>
          </w:p>
        </w:tc>
        <w:tc>
          <w:tcPr>
            <w:tcW w:w="609" w:type="pct"/>
            <w:tcBorders>
              <w:top w:val="single" w:sz="4" w:space="0" w:color="auto"/>
              <w:left w:val="nil"/>
              <w:bottom w:val="single" w:sz="4" w:space="0" w:color="auto"/>
              <w:right w:val="single" w:sz="4" w:space="0" w:color="auto"/>
            </w:tcBorders>
            <w:shd w:val="clear" w:color="auto" w:fill="F2F2F2" w:themeFill="background1" w:themeFillShade="F2"/>
          </w:tcPr>
          <w:p w:rsidR="00595829" w:rsidRPr="00595829" w:rsidRDefault="00595829" w:rsidP="00595829">
            <w:pPr>
              <w:pStyle w:val="TableText"/>
            </w:pPr>
          </w:p>
        </w:tc>
      </w:tr>
      <w:tr w:rsidR="00595829" w:rsidRPr="006A3B93" w:rsidTr="00595829">
        <w:tc>
          <w:tcPr>
            <w:tcW w:w="1336" w:type="pct"/>
            <w:tcBorders>
              <w:top w:val="single" w:sz="4" w:space="0" w:color="auto"/>
            </w:tcBorders>
          </w:tcPr>
          <w:p w:rsidR="00595829" w:rsidRPr="006A3B93" w:rsidRDefault="00595829" w:rsidP="00595829">
            <w:pPr>
              <w:pStyle w:val="TableText"/>
            </w:pPr>
            <w:r w:rsidRPr="006A3B93">
              <w:t>$Mean</w:t>
            </w:r>
          </w:p>
        </w:tc>
        <w:tc>
          <w:tcPr>
            <w:tcW w:w="611" w:type="pct"/>
            <w:tcBorders>
              <w:top w:val="single" w:sz="4" w:space="0" w:color="auto"/>
            </w:tcBorders>
          </w:tcPr>
          <w:p w:rsidR="00595829" w:rsidRDefault="00595829" w:rsidP="00595829">
            <w:pPr>
              <w:pStyle w:val="TableText"/>
            </w:pPr>
          </w:p>
        </w:tc>
        <w:tc>
          <w:tcPr>
            <w:tcW w:w="611" w:type="pct"/>
            <w:tcBorders>
              <w:top w:val="single" w:sz="4" w:space="0" w:color="auto"/>
            </w:tcBorders>
          </w:tcPr>
          <w:p w:rsidR="00595829" w:rsidRDefault="00595829" w:rsidP="00595829">
            <w:pPr>
              <w:pStyle w:val="TableText"/>
              <w:rPr>
                <w:sz w:val="19"/>
              </w:rPr>
            </w:pPr>
            <w:r>
              <w:rPr>
                <w:w w:val="105"/>
                <w:sz w:val="19"/>
              </w:rPr>
              <w:t>479</w:t>
            </w:r>
          </w:p>
        </w:tc>
        <w:tc>
          <w:tcPr>
            <w:tcW w:w="611" w:type="pct"/>
            <w:tcBorders>
              <w:top w:val="single" w:sz="4" w:space="0" w:color="auto"/>
            </w:tcBorders>
          </w:tcPr>
          <w:p w:rsidR="00595829" w:rsidRDefault="00595829" w:rsidP="00595829">
            <w:pPr>
              <w:pStyle w:val="TableText"/>
              <w:rPr>
                <w:sz w:val="19"/>
              </w:rPr>
            </w:pPr>
            <w:r>
              <w:rPr>
                <w:w w:val="105"/>
                <w:sz w:val="19"/>
              </w:rPr>
              <w:t>567</w:t>
            </w:r>
          </w:p>
        </w:tc>
        <w:tc>
          <w:tcPr>
            <w:tcW w:w="611" w:type="pct"/>
            <w:tcBorders>
              <w:top w:val="single" w:sz="4" w:space="0" w:color="auto"/>
            </w:tcBorders>
          </w:tcPr>
          <w:p w:rsidR="00595829" w:rsidRDefault="00595829" w:rsidP="00595829">
            <w:pPr>
              <w:pStyle w:val="TableText"/>
            </w:pPr>
          </w:p>
        </w:tc>
        <w:tc>
          <w:tcPr>
            <w:tcW w:w="611" w:type="pct"/>
            <w:tcBorders>
              <w:top w:val="single" w:sz="4" w:space="0" w:color="auto"/>
            </w:tcBorders>
          </w:tcPr>
          <w:p w:rsidR="00595829" w:rsidRDefault="00595829" w:rsidP="00595829">
            <w:pPr>
              <w:pStyle w:val="TableText"/>
              <w:rPr>
                <w:sz w:val="19"/>
              </w:rPr>
            </w:pPr>
            <w:r>
              <w:rPr>
                <w:w w:val="105"/>
                <w:sz w:val="19"/>
              </w:rPr>
              <w:t>562</w:t>
            </w:r>
          </w:p>
        </w:tc>
        <w:tc>
          <w:tcPr>
            <w:tcW w:w="609" w:type="pct"/>
            <w:tcBorders>
              <w:top w:val="single" w:sz="4" w:space="0" w:color="auto"/>
            </w:tcBorders>
          </w:tcPr>
          <w:p w:rsidR="00595829" w:rsidRDefault="00595829" w:rsidP="00595829">
            <w:pPr>
              <w:pStyle w:val="TableText"/>
              <w:rPr>
                <w:sz w:val="19"/>
              </w:rPr>
            </w:pPr>
            <w:r>
              <w:rPr>
                <w:w w:val="105"/>
                <w:sz w:val="19"/>
              </w:rPr>
              <w:t>899</w:t>
            </w:r>
          </w:p>
        </w:tc>
      </w:tr>
      <w:tr w:rsidR="00595829" w:rsidRPr="006A3B93" w:rsidTr="00595829">
        <w:tc>
          <w:tcPr>
            <w:tcW w:w="1336" w:type="pct"/>
            <w:tcBorders>
              <w:bottom w:val="single" w:sz="4" w:space="0" w:color="auto"/>
            </w:tcBorders>
          </w:tcPr>
          <w:p w:rsidR="00595829" w:rsidRPr="006A3B93" w:rsidRDefault="00595829" w:rsidP="00595829">
            <w:pPr>
              <w:pStyle w:val="TableText"/>
            </w:pPr>
            <w:r w:rsidRPr="006A3B93">
              <w:t>%</w:t>
            </w:r>
          </w:p>
        </w:tc>
        <w:tc>
          <w:tcPr>
            <w:tcW w:w="611" w:type="pct"/>
            <w:tcBorders>
              <w:bottom w:val="single" w:sz="4" w:space="0" w:color="auto"/>
            </w:tcBorders>
          </w:tcPr>
          <w:p w:rsidR="00595829" w:rsidRDefault="00595829" w:rsidP="00595829">
            <w:pPr>
              <w:pStyle w:val="TableText"/>
            </w:pPr>
          </w:p>
        </w:tc>
        <w:tc>
          <w:tcPr>
            <w:tcW w:w="611" w:type="pct"/>
            <w:tcBorders>
              <w:bottom w:val="single" w:sz="4" w:space="0" w:color="auto"/>
            </w:tcBorders>
          </w:tcPr>
          <w:p w:rsidR="00595829" w:rsidRDefault="00595829" w:rsidP="00595829">
            <w:pPr>
              <w:pStyle w:val="TableText"/>
              <w:rPr>
                <w:sz w:val="19"/>
              </w:rPr>
            </w:pPr>
            <w:r>
              <w:rPr>
                <w:w w:val="105"/>
                <w:sz w:val="19"/>
              </w:rPr>
              <w:t>3.6</w:t>
            </w:r>
          </w:p>
        </w:tc>
        <w:tc>
          <w:tcPr>
            <w:tcW w:w="611" w:type="pct"/>
            <w:tcBorders>
              <w:bottom w:val="single" w:sz="4" w:space="0" w:color="auto"/>
            </w:tcBorders>
          </w:tcPr>
          <w:p w:rsidR="00595829" w:rsidRDefault="00595829" w:rsidP="00595829">
            <w:pPr>
              <w:pStyle w:val="TableText"/>
              <w:rPr>
                <w:sz w:val="19"/>
              </w:rPr>
            </w:pPr>
            <w:r>
              <w:rPr>
                <w:w w:val="105"/>
                <w:sz w:val="19"/>
              </w:rPr>
              <w:t>26.5</w:t>
            </w:r>
          </w:p>
        </w:tc>
        <w:tc>
          <w:tcPr>
            <w:tcW w:w="611" w:type="pct"/>
            <w:tcBorders>
              <w:bottom w:val="single" w:sz="4" w:space="0" w:color="auto"/>
            </w:tcBorders>
          </w:tcPr>
          <w:p w:rsidR="00595829" w:rsidRDefault="00595829" w:rsidP="00595829">
            <w:pPr>
              <w:pStyle w:val="TableText"/>
            </w:pPr>
          </w:p>
        </w:tc>
        <w:tc>
          <w:tcPr>
            <w:tcW w:w="611" w:type="pct"/>
            <w:tcBorders>
              <w:bottom w:val="single" w:sz="4" w:space="0" w:color="auto"/>
            </w:tcBorders>
          </w:tcPr>
          <w:p w:rsidR="00595829" w:rsidRDefault="00595829" w:rsidP="00595829">
            <w:pPr>
              <w:pStyle w:val="TableText"/>
              <w:rPr>
                <w:sz w:val="19"/>
              </w:rPr>
            </w:pPr>
            <w:r>
              <w:rPr>
                <w:w w:val="105"/>
                <w:sz w:val="19"/>
              </w:rPr>
              <w:t>33.3</w:t>
            </w:r>
          </w:p>
        </w:tc>
        <w:tc>
          <w:tcPr>
            <w:tcW w:w="609" w:type="pct"/>
            <w:tcBorders>
              <w:bottom w:val="single" w:sz="4" w:space="0" w:color="auto"/>
            </w:tcBorders>
          </w:tcPr>
          <w:p w:rsidR="00595829" w:rsidRDefault="00595829" w:rsidP="00595829">
            <w:pPr>
              <w:pStyle w:val="TableText"/>
              <w:rPr>
                <w:sz w:val="19"/>
              </w:rPr>
            </w:pPr>
            <w:r>
              <w:rPr>
                <w:w w:val="105"/>
                <w:sz w:val="19"/>
              </w:rPr>
              <w:t>55.0</w:t>
            </w:r>
          </w:p>
        </w:tc>
      </w:tr>
      <w:tr w:rsidR="00595829" w:rsidRPr="00595829" w:rsidTr="00595829">
        <w:tc>
          <w:tcPr>
            <w:tcW w:w="1336" w:type="pct"/>
            <w:tcBorders>
              <w:top w:val="single" w:sz="4" w:space="0" w:color="auto"/>
              <w:left w:val="single" w:sz="4" w:space="0" w:color="auto"/>
              <w:bottom w:val="single" w:sz="4" w:space="0" w:color="auto"/>
              <w:right w:val="nil"/>
            </w:tcBorders>
            <w:shd w:val="clear" w:color="auto" w:fill="F2F2F2" w:themeFill="background1" w:themeFillShade="F2"/>
          </w:tcPr>
          <w:p w:rsidR="00595829" w:rsidRPr="00595829" w:rsidRDefault="00595829" w:rsidP="00595829">
            <w:pPr>
              <w:pStyle w:val="TableText"/>
              <w:rPr>
                <w:b/>
              </w:rPr>
            </w:pPr>
            <w:r w:rsidRPr="00595829">
              <w:rPr>
                <w:b/>
              </w:rPr>
              <w:t>Allowance from parents</w:t>
            </w:r>
          </w:p>
        </w:tc>
        <w:tc>
          <w:tcPr>
            <w:tcW w:w="611" w:type="pct"/>
            <w:tcBorders>
              <w:top w:val="single" w:sz="4" w:space="0" w:color="auto"/>
              <w:left w:val="nil"/>
              <w:bottom w:val="single" w:sz="4" w:space="0" w:color="auto"/>
              <w:right w:val="nil"/>
            </w:tcBorders>
            <w:shd w:val="clear" w:color="auto" w:fill="F2F2F2" w:themeFill="background1" w:themeFillShade="F2"/>
          </w:tcPr>
          <w:p w:rsidR="00595829" w:rsidRPr="00595829" w:rsidRDefault="00595829" w:rsidP="00595829">
            <w:pPr>
              <w:pStyle w:val="TableText"/>
            </w:pPr>
          </w:p>
        </w:tc>
        <w:tc>
          <w:tcPr>
            <w:tcW w:w="611" w:type="pct"/>
            <w:tcBorders>
              <w:top w:val="single" w:sz="4" w:space="0" w:color="auto"/>
              <w:left w:val="nil"/>
              <w:bottom w:val="single" w:sz="4" w:space="0" w:color="auto"/>
              <w:right w:val="nil"/>
            </w:tcBorders>
            <w:shd w:val="clear" w:color="auto" w:fill="F2F2F2" w:themeFill="background1" w:themeFillShade="F2"/>
          </w:tcPr>
          <w:p w:rsidR="00595829" w:rsidRPr="00595829" w:rsidRDefault="00595829" w:rsidP="00595829">
            <w:pPr>
              <w:pStyle w:val="TableText"/>
            </w:pPr>
          </w:p>
        </w:tc>
        <w:tc>
          <w:tcPr>
            <w:tcW w:w="611" w:type="pct"/>
            <w:tcBorders>
              <w:top w:val="single" w:sz="4" w:space="0" w:color="auto"/>
              <w:left w:val="nil"/>
              <w:bottom w:val="single" w:sz="4" w:space="0" w:color="auto"/>
              <w:right w:val="nil"/>
            </w:tcBorders>
            <w:shd w:val="clear" w:color="auto" w:fill="F2F2F2" w:themeFill="background1" w:themeFillShade="F2"/>
          </w:tcPr>
          <w:p w:rsidR="00595829" w:rsidRPr="00595829" w:rsidRDefault="00595829" w:rsidP="00595829">
            <w:pPr>
              <w:pStyle w:val="TableText"/>
            </w:pPr>
          </w:p>
        </w:tc>
        <w:tc>
          <w:tcPr>
            <w:tcW w:w="611" w:type="pct"/>
            <w:tcBorders>
              <w:top w:val="single" w:sz="4" w:space="0" w:color="auto"/>
              <w:left w:val="nil"/>
              <w:bottom w:val="single" w:sz="4" w:space="0" w:color="auto"/>
              <w:right w:val="nil"/>
            </w:tcBorders>
            <w:shd w:val="clear" w:color="auto" w:fill="F2F2F2" w:themeFill="background1" w:themeFillShade="F2"/>
          </w:tcPr>
          <w:p w:rsidR="00595829" w:rsidRPr="00595829" w:rsidRDefault="00595829" w:rsidP="00595829">
            <w:pPr>
              <w:pStyle w:val="TableText"/>
            </w:pPr>
          </w:p>
        </w:tc>
        <w:tc>
          <w:tcPr>
            <w:tcW w:w="611" w:type="pct"/>
            <w:tcBorders>
              <w:top w:val="single" w:sz="4" w:space="0" w:color="auto"/>
              <w:left w:val="nil"/>
              <w:bottom w:val="single" w:sz="4" w:space="0" w:color="auto"/>
              <w:right w:val="nil"/>
            </w:tcBorders>
            <w:shd w:val="clear" w:color="auto" w:fill="F2F2F2" w:themeFill="background1" w:themeFillShade="F2"/>
          </w:tcPr>
          <w:p w:rsidR="00595829" w:rsidRPr="00595829" w:rsidRDefault="00595829" w:rsidP="00595829">
            <w:pPr>
              <w:pStyle w:val="TableText"/>
            </w:pPr>
          </w:p>
        </w:tc>
        <w:tc>
          <w:tcPr>
            <w:tcW w:w="609" w:type="pct"/>
            <w:tcBorders>
              <w:top w:val="single" w:sz="4" w:space="0" w:color="auto"/>
              <w:left w:val="nil"/>
              <w:bottom w:val="single" w:sz="4" w:space="0" w:color="auto"/>
              <w:right w:val="single" w:sz="4" w:space="0" w:color="auto"/>
            </w:tcBorders>
            <w:shd w:val="clear" w:color="auto" w:fill="F2F2F2" w:themeFill="background1" w:themeFillShade="F2"/>
          </w:tcPr>
          <w:p w:rsidR="00595829" w:rsidRPr="00595829" w:rsidRDefault="00595829" w:rsidP="00595829">
            <w:pPr>
              <w:pStyle w:val="TableText"/>
            </w:pPr>
          </w:p>
        </w:tc>
      </w:tr>
      <w:tr w:rsidR="00595829" w:rsidRPr="006A3B93" w:rsidTr="00595829">
        <w:tc>
          <w:tcPr>
            <w:tcW w:w="1336" w:type="pct"/>
            <w:tcBorders>
              <w:top w:val="single" w:sz="4" w:space="0" w:color="auto"/>
            </w:tcBorders>
          </w:tcPr>
          <w:p w:rsidR="00595829" w:rsidRPr="006A3B93" w:rsidRDefault="00595829" w:rsidP="00595829">
            <w:pPr>
              <w:pStyle w:val="TableText"/>
            </w:pPr>
            <w:r w:rsidRPr="006A3B93">
              <w:t>$Mean</w:t>
            </w:r>
          </w:p>
        </w:tc>
        <w:tc>
          <w:tcPr>
            <w:tcW w:w="611" w:type="pct"/>
            <w:tcBorders>
              <w:top w:val="single" w:sz="4" w:space="0" w:color="auto"/>
            </w:tcBorders>
          </w:tcPr>
          <w:p w:rsidR="00595829" w:rsidRPr="006A3B93" w:rsidRDefault="00595829" w:rsidP="00595829">
            <w:pPr>
              <w:pStyle w:val="TableText"/>
            </w:pPr>
          </w:p>
        </w:tc>
        <w:tc>
          <w:tcPr>
            <w:tcW w:w="611" w:type="pct"/>
            <w:tcBorders>
              <w:top w:val="single" w:sz="4" w:space="0" w:color="auto"/>
            </w:tcBorders>
          </w:tcPr>
          <w:p w:rsidR="00595829" w:rsidRDefault="00595829" w:rsidP="00595829">
            <w:pPr>
              <w:pStyle w:val="TableText"/>
              <w:rPr>
                <w:sz w:val="19"/>
              </w:rPr>
            </w:pPr>
            <w:r>
              <w:rPr>
                <w:w w:val="105"/>
                <w:sz w:val="19"/>
              </w:rPr>
              <w:t>144</w:t>
            </w:r>
          </w:p>
        </w:tc>
        <w:tc>
          <w:tcPr>
            <w:tcW w:w="611" w:type="pct"/>
            <w:tcBorders>
              <w:top w:val="single" w:sz="4" w:space="0" w:color="auto"/>
            </w:tcBorders>
          </w:tcPr>
          <w:p w:rsidR="00595829" w:rsidRDefault="00595829" w:rsidP="00595829">
            <w:pPr>
              <w:pStyle w:val="TableText"/>
              <w:rPr>
                <w:sz w:val="19"/>
              </w:rPr>
            </w:pPr>
            <w:r>
              <w:rPr>
                <w:w w:val="105"/>
                <w:sz w:val="19"/>
              </w:rPr>
              <w:t>185</w:t>
            </w:r>
          </w:p>
        </w:tc>
        <w:tc>
          <w:tcPr>
            <w:tcW w:w="611" w:type="pct"/>
            <w:tcBorders>
              <w:top w:val="single" w:sz="4" w:space="0" w:color="auto"/>
            </w:tcBorders>
          </w:tcPr>
          <w:p w:rsidR="00595829" w:rsidRDefault="00595829" w:rsidP="00595829">
            <w:pPr>
              <w:pStyle w:val="TableText"/>
              <w:rPr>
                <w:rFonts w:ascii="Times New Roman"/>
              </w:rPr>
            </w:pPr>
          </w:p>
        </w:tc>
        <w:tc>
          <w:tcPr>
            <w:tcW w:w="611" w:type="pct"/>
            <w:tcBorders>
              <w:top w:val="single" w:sz="4" w:space="0" w:color="auto"/>
            </w:tcBorders>
          </w:tcPr>
          <w:p w:rsidR="00595829" w:rsidRDefault="00595829" w:rsidP="00595829">
            <w:pPr>
              <w:pStyle w:val="TableText"/>
              <w:rPr>
                <w:sz w:val="19"/>
              </w:rPr>
            </w:pPr>
            <w:r>
              <w:rPr>
                <w:w w:val="103"/>
                <w:sz w:val="19"/>
              </w:rPr>
              <w:t>0</w:t>
            </w:r>
          </w:p>
        </w:tc>
        <w:tc>
          <w:tcPr>
            <w:tcW w:w="609" w:type="pct"/>
            <w:tcBorders>
              <w:top w:val="single" w:sz="4" w:space="0" w:color="auto"/>
            </w:tcBorders>
          </w:tcPr>
          <w:p w:rsidR="00595829" w:rsidRDefault="00595829" w:rsidP="00595829">
            <w:pPr>
              <w:pStyle w:val="TableText"/>
              <w:rPr>
                <w:sz w:val="19"/>
              </w:rPr>
            </w:pPr>
            <w:r>
              <w:rPr>
                <w:w w:val="105"/>
                <w:sz w:val="19"/>
              </w:rPr>
              <w:t>233</w:t>
            </w:r>
          </w:p>
        </w:tc>
      </w:tr>
      <w:tr w:rsidR="00595829" w:rsidRPr="006A3B93" w:rsidTr="00595829">
        <w:tc>
          <w:tcPr>
            <w:tcW w:w="1336" w:type="pct"/>
            <w:tcBorders>
              <w:bottom w:val="single" w:sz="4" w:space="0" w:color="auto"/>
            </w:tcBorders>
          </w:tcPr>
          <w:p w:rsidR="00595829" w:rsidRPr="006A3B93" w:rsidRDefault="00595829" w:rsidP="00595829">
            <w:pPr>
              <w:pStyle w:val="TableText"/>
            </w:pPr>
            <w:r w:rsidRPr="006A3B93">
              <w:t>%</w:t>
            </w:r>
          </w:p>
        </w:tc>
        <w:tc>
          <w:tcPr>
            <w:tcW w:w="611" w:type="pct"/>
            <w:tcBorders>
              <w:bottom w:val="single" w:sz="4" w:space="0" w:color="auto"/>
            </w:tcBorders>
          </w:tcPr>
          <w:p w:rsidR="00595829" w:rsidRPr="006A3B93" w:rsidRDefault="00595829" w:rsidP="00595829">
            <w:pPr>
              <w:pStyle w:val="TableText"/>
            </w:pPr>
          </w:p>
        </w:tc>
        <w:tc>
          <w:tcPr>
            <w:tcW w:w="611" w:type="pct"/>
            <w:tcBorders>
              <w:bottom w:val="single" w:sz="4" w:space="0" w:color="auto"/>
            </w:tcBorders>
          </w:tcPr>
          <w:p w:rsidR="00595829" w:rsidRDefault="00595829" w:rsidP="00595829">
            <w:pPr>
              <w:pStyle w:val="TableText"/>
              <w:rPr>
                <w:sz w:val="19"/>
              </w:rPr>
            </w:pPr>
            <w:r>
              <w:rPr>
                <w:w w:val="105"/>
                <w:sz w:val="19"/>
              </w:rPr>
              <w:t>33.6</w:t>
            </w:r>
          </w:p>
        </w:tc>
        <w:tc>
          <w:tcPr>
            <w:tcW w:w="611" w:type="pct"/>
            <w:tcBorders>
              <w:bottom w:val="single" w:sz="4" w:space="0" w:color="auto"/>
            </w:tcBorders>
          </w:tcPr>
          <w:p w:rsidR="00595829" w:rsidRDefault="00595829" w:rsidP="00595829">
            <w:pPr>
              <w:pStyle w:val="TableText"/>
              <w:rPr>
                <w:sz w:val="19"/>
              </w:rPr>
            </w:pPr>
            <w:r>
              <w:rPr>
                <w:w w:val="105"/>
                <w:sz w:val="19"/>
              </w:rPr>
              <w:t>10.2</w:t>
            </w:r>
          </w:p>
        </w:tc>
        <w:tc>
          <w:tcPr>
            <w:tcW w:w="611" w:type="pct"/>
            <w:tcBorders>
              <w:bottom w:val="single" w:sz="4" w:space="0" w:color="auto"/>
            </w:tcBorders>
          </w:tcPr>
          <w:p w:rsidR="00595829" w:rsidRDefault="00595829" w:rsidP="00595829">
            <w:pPr>
              <w:pStyle w:val="TableText"/>
              <w:rPr>
                <w:rFonts w:ascii="Times New Roman"/>
              </w:rPr>
            </w:pPr>
          </w:p>
        </w:tc>
        <w:tc>
          <w:tcPr>
            <w:tcW w:w="611" w:type="pct"/>
            <w:tcBorders>
              <w:bottom w:val="single" w:sz="4" w:space="0" w:color="auto"/>
            </w:tcBorders>
          </w:tcPr>
          <w:p w:rsidR="00595829" w:rsidRDefault="00595829" w:rsidP="00595829">
            <w:pPr>
              <w:pStyle w:val="TableText"/>
              <w:rPr>
                <w:sz w:val="19"/>
              </w:rPr>
            </w:pPr>
            <w:r>
              <w:rPr>
                <w:w w:val="105"/>
                <w:sz w:val="19"/>
              </w:rPr>
              <w:t>0.0</w:t>
            </w:r>
          </w:p>
        </w:tc>
        <w:tc>
          <w:tcPr>
            <w:tcW w:w="609" w:type="pct"/>
            <w:tcBorders>
              <w:bottom w:val="single" w:sz="4" w:space="0" w:color="auto"/>
            </w:tcBorders>
          </w:tcPr>
          <w:p w:rsidR="00595829" w:rsidRDefault="00595829" w:rsidP="00595829">
            <w:pPr>
              <w:pStyle w:val="TableText"/>
              <w:rPr>
                <w:sz w:val="19"/>
              </w:rPr>
            </w:pPr>
            <w:r>
              <w:rPr>
                <w:w w:val="105"/>
                <w:sz w:val="19"/>
              </w:rPr>
              <w:t>1.9</w:t>
            </w:r>
          </w:p>
        </w:tc>
      </w:tr>
      <w:tr w:rsidR="00595829" w:rsidRPr="00595829" w:rsidTr="00595829">
        <w:tc>
          <w:tcPr>
            <w:tcW w:w="1336" w:type="pct"/>
            <w:tcBorders>
              <w:top w:val="single" w:sz="4" w:space="0" w:color="auto"/>
              <w:left w:val="single" w:sz="4" w:space="0" w:color="auto"/>
              <w:bottom w:val="single" w:sz="4" w:space="0" w:color="auto"/>
              <w:right w:val="nil"/>
            </w:tcBorders>
            <w:shd w:val="clear" w:color="auto" w:fill="F2F2F2" w:themeFill="background1" w:themeFillShade="F2"/>
          </w:tcPr>
          <w:p w:rsidR="00595829" w:rsidRPr="00595829" w:rsidRDefault="00595829" w:rsidP="00595829">
            <w:pPr>
              <w:pStyle w:val="TableText"/>
              <w:rPr>
                <w:b/>
              </w:rPr>
            </w:pPr>
            <w:r w:rsidRPr="00595829">
              <w:rPr>
                <w:b/>
              </w:rPr>
              <w:t>Other family support</w:t>
            </w:r>
          </w:p>
        </w:tc>
        <w:tc>
          <w:tcPr>
            <w:tcW w:w="611" w:type="pct"/>
            <w:tcBorders>
              <w:top w:val="single" w:sz="4" w:space="0" w:color="auto"/>
              <w:left w:val="nil"/>
              <w:bottom w:val="single" w:sz="4" w:space="0" w:color="auto"/>
              <w:right w:val="nil"/>
            </w:tcBorders>
            <w:shd w:val="clear" w:color="auto" w:fill="F2F2F2" w:themeFill="background1" w:themeFillShade="F2"/>
          </w:tcPr>
          <w:p w:rsidR="00595829" w:rsidRPr="00595829" w:rsidRDefault="00595829" w:rsidP="00595829">
            <w:pPr>
              <w:pStyle w:val="TableText"/>
              <w:rPr>
                <w:b/>
              </w:rPr>
            </w:pPr>
          </w:p>
        </w:tc>
        <w:tc>
          <w:tcPr>
            <w:tcW w:w="611" w:type="pct"/>
            <w:tcBorders>
              <w:top w:val="single" w:sz="4" w:space="0" w:color="auto"/>
              <w:left w:val="nil"/>
              <w:bottom w:val="single" w:sz="4" w:space="0" w:color="auto"/>
              <w:right w:val="nil"/>
            </w:tcBorders>
            <w:shd w:val="clear" w:color="auto" w:fill="F2F2F2" w:themeFill="background1" w:themeFillShade="F2"/>
          </w:tcPr>
          <w:p w:rsidR="00595829" w:rsidRDefault="00595829" w:rsidP="00595829">
            <w:pPr>
              <w:pStyle w:val="TableText"/>
              <w:rPr>
                <w:sz w:val="19"/>
              </w:rPr>
            </w:pPr>
          </w:p>
        </w:tc>
        <w:tc>
          <w:tcPr>
            <w:tcW w:w="611" w:type="pct"/>
            <w:tcBorders>
              <w:top w:val="single" w:sz="4" w:space="0" w:color="auto"/>
              <w:left w:val="nil"/>
              <w:bottom w:val="single" w:sz="4" w:space="0" w:color="auto"/>
              <w:right w:val="nil"/>
            </w:tcBorders>
            <w:shd w:val="clear" w:color="auto" w:fill="F2F2F2" w:themeFill="background1" w:themeFillShade="F2"/>
          </w:tcPr>
          <w:p w:rsidR="00595829" w:rsidRDefault="00595829" w:rsidP="00595829">
            <w:pPr>
              <w:pStyle w:val="TableText"/>
              <w:rPr>
                <w:sz w:val="19"/>
              </w:rPr>
            </w:pPr>
          </w:p>
        </w:tc>
        <w:tc>
          <w:tcPr>
            <w:tcW w:w="611" w:type="pct"/>
            <w:tcBorders>
              <w:top w:val="single" w:sz="4" w:space="0" w:color="auto"/>
              <w:left w:val="nil"/>
              <w:bottom w:val="single" w:sz="4" w:space="0" w:color="auto"/>
              <w:right w:val="nil"/>
            </w:tcBorders>
            <w:shd w:val="clear" w:color="auto" w:fill="F2F2F2" w:themeFill="background1" w:themeFillShade="F2"/>
          </w:tcPr>
          <w:p w:rsidR="00595829" w:rsidRDefault="00595829" w:rsidP="00595829">
            <w:pPr>
              <w:pStyle w:val="TableText"/>
              <w:rPr>
                <w:rFonts w:ascii="Times New Roman"/>
              </w:rPr>
            </w:pPr>
          </w:p>
        </w:tc>
        <w:tc>
          <w:tcPr>
            <w:tcW w:w="611" w:type="pct"/>
            <w:tcBorders>
              <w:top w:val="single" w:sz="4" w:space="0" w:color="auto"/>
              <w:left w:val="nil"/>
              <w:bottom w:val="single" w:sz="4" w:space="0" w:color="auto"/>
              <w:right w:val="nil"/>
            </w:tcBorders>
            <w:shd w:val="clear" w:color="auto" w:fill="F2F2F2" w:themeFill="background1" w:themeFillShade="F2"/>
          </w:tcPr>
          <w:p w:rsidR="00595829" w:rsidRDefault="00595829" w:rsidP="00595829">
            <w:pPr>
              <w:pStyle w:val="TableText"/>
              <w:rPr>
                <w:sz w:val="19"/>
              </w:rPr>
            </w:pPr>
          </w:p>
        </w:tc>
        <w:tc>
          <w:tcPr>
            <w:tcW w:w="609" w:type="pct"/>
            <w:tcBorders>
              <w:top w:val="single" w:sz="4" w:space="0" w:color="auto"/>
              <w:left w:val="nil"/>
              <w:bottom w:val="single" w:sz="4" w:space="0" w:color="auto"/>
              <w:right w:val="single" w:sz="4" w:space="0" w:color="auto"/>
            </w:tcBorders>
            <w:shd w:val="clear" w:color="auto" w:fill="F2F2F2" w:themeFill="background1" w:themeFillShade="F2"/>
          </w:tcPr>
          <w:p w:rsidR="00595829" w:rsidRDefault="00595829" w:rsidP="00595829">
            <w:pPr>
              <w:pStyle w:val="TableText"/>
              <w:rPr>
                <w:sz w:val="19"/>
              </w:rPr>
            </w:pPr>
          </w:p>
        </w:tc>
      </w:tr>
      <w:tr w:rsidR="00595829" w:rsidRPr="006A3B93" w:rsidTr="00595829">
        <w:tc>
          <w:tcPr>
            <w:tcW w:w="1336" w:type="pct"/>
            <w:tcBorders>
              <w:top w:val="single" w:sz="4" w:space="0" w:color="auto"/>
            </w:tcBorders>
          </w:tcPr>
          <w:p w:rsidR="00595829" w:rsidRPr="006A3B93" w:rsidRDefault="00595829" w:rsidP="00595829">
            <w:pPr>
              <w:pStyle w:val="TableText"/>
            </w:pPr>
            <w:r w:rsidRPr="006A3B93">
              <w:t>$Mean</w:t>
            </w:r>
          </w:p>
        </w:tc>
        <w:tc>
          <w:tcPr>
            <w:tcW w:w="611" w:type="pct"/>
            <w:tcBorders>
              <w:top w:val="single" w:sz="4" w:space="0" w:color="auto"/>
            </w:tcBorders>
          </w:tcPr>
          <w:p w:rsidR="00595829" w:rsidRPr="006A3B93" w:rsidRDefault="00595829" w:rsidP="00595829">
            <w:pPr>
              <w:pStyle w:val="TableText"/>
            </w:pPr>
          </w:p>
        </w:tc>
        <w:tc>
          <w:tcPr>
            <w:tcW w:w="611" w:type="pct"/>
            <w:tcBorders>
              <w:top w:val="single" w:sz="4" w:space="0" w:color="auto"/>
            </w:tcBorders>
          </w:tcPr>
          <w:p w:rsidR="00595829" w:rsidRDefault="00595829" w:rsidP="00595829">
            <w:pPr>
              <w:pStyle w:val="TableText"/>
              <w:rPr>
                <w:sz w:val="19"/>
              </w:rPr>
            </w:pPr>
            <w:r>
              <w:rPr>
                <w:w w:val="105"/>
                <w:sz w:val="19"/>
              </w:rPr>
              <w:t>90</w:t>
            </w:r>
          </w:p>
        </w:tc>
        <w:tc>
          <w:tcPr>
            <w:tcW w:w="611" w:type="pct"/>
            <w:tcBorders>
              <w:top w:val="single" w:sz="4" w:space="0" w:color="auto"/>
            </w:tcBorders>
          </w:tcPr>
          <w:p w:rsidR="00595829" w:rsidRDefault="00595829" w:rsidP="00595829">
            <w:pPr>
              <w:pStyle w:val="TableText"/>
              <w:rPr>
                <w:sz w:val="19"/>
              </w:rPr>
            </w:pPr>
            <w:r>
              <w:rPr>
                <w:w w:val="105"/>
                <w:sz w:val="19"/>
              </w:rPr>
              <w:t>94</w:t>
            </w:r>
          </w:p>
        </w:tc>
        <w:tc>
          <w:tcPr>
            <w:tcW w:w="611" w:type="pct"/>
            <w:tcBorders>
              <w:top w:val="single" w:sz="4" w:space="0" w:color="auto"/>
            </w:tcBorders>
          </w:tcPr>
          <w:p w:rsidR="00595829" w:rsidRDefault="00595829" w:rsidP="00595829">
            <w:pPr>
              <w:pStyle w:val="TableText"/>
              <w:rPr>
                <w:rFonts w:ascii="Times New Roman"/>
              </w:rPr>
            </w:pPr>
          </w:p>
        </w:tc>
        <w:tc>
          <w:tcPr>
            <w:tcW w:w="611" w:type="pct"/>
            <w:tcBorders>
              <w:top w:val="single" w:sz="4" w:space="0" w:color="auto"/>
            </w:tcBorders>
          </w:tcPr>
          <w:p w:rsidR="00595829" w:rsidRDefault="00595829" w:rsidP="00595829">
            <w:pPr>
              <w:pStyle w:val="TableText"/>
              <w:rPr>
                <w:sz w:val="19"/>
              </w:rPr>
            </w:pPr>
            <w:r>
              <w:rPr>
                <w:w w:val="105"/>
                <w:sz w:val="19"/>
              </w:rPr>
              <w:t>158</w:t>
            </w:r>
          </w:p>
        </w:tc>
        <w:tc>
          <w:tcPr>
            <w:tcW w:w="609" w:type="pct"/>
            <w:tcBorders>
              <w:top w:val="single" w:sz="4" w:space="0" w:color="auto"/>
            </w:tcBorders>
          </w:tcPr>
          <w:p w:rsidR="00595829" w:rsidRDefault="00595829" w:rsidP="00595829">
            <w:pPr>
              <w:pStyle w:val="TableText"/>
              <w:rPr>
                <w:sz w:val="19"/>
              </w:rPr>
            </w:pPr>
            <w:r>
              <w:rPr>
                <w:w w:val="105"/>
                <w:sz w:val="19"/>
              </w:rPr>
              <w:t>205</w:t>
            </w:r>
          </w:p>
        </w:tc>
      </w:tr>
      <w:tr w:rsidR="00595829" w:rsidRPr="006A3B93" w:rsidTr="00595829">
        <w:tc>
          <w:tcPr>
            <w:tcW w:w="1336" w:type="pct"/>
            <w:tcBorders>
              <w:bottom w:val="single" w:sz="4" w:space="0" w:color="auto"/>
            </w:tcBorders>
          </w:tcPr>
          <w:p w:rsidR="00595829" w:rsidRPr="006A3B93" w:rsidRDefault="00595829" w:rsidP="00595829">
            <w:pPr>
              <w:pStyle w:val="TableText"/>
            </w:pPr>
            <w:r w:rsidRPr="006A3B93">
              <w:t>%</w:t>
            </w:r>
          </w:p>
        </w:tc>
        <w:tc>
          <w:tcPr>
            <w:tcW w:w="611" w:type="pct"/>
            <w:tcBorders>
              <w:bottom w:val="single" w:sz="4" w:space="0" w:color="auto"/>
            </w:tcBorders>
          </w:tcPr>
          <w:p w:rsidR="00595829" w:rsidRPr="006A3B93" w:rsidRDefault="00595829" w:rsidP="00595829">
            <w:pPr>
              <w:pStyle w:val="TableText"/>
            </w:pPr>
          </w:p>
        </w:tc>
        <w:tc>
          <w:tcPr>
            <w:tcW w:w="611" w:type="pct"/>
            <w:tcBorders>
              <w:bottom w:val="single" w:sz="4" w:space="0" w:color="auto"/>
            </w:tcBorders>
          </w:tcPr>
          <w:p w:rsidR="00595829" w:rsidRDefault="00595829" w:rsidP="00595829">
            <w:pPr>
              <w:pStyle w:val="TableText"/>
              <w:rPr>
                <w:sz w:val="19"/>
              </w:rPr>
            </w:pPr>
            <w:r>
              <w:rPr>
                <w:w w:val="105"/>
                <w:sz w:val="19"/>
              </w:rPr>
              <w:t>5.7</w:t>
            </w:r>
          </w:p>
        </w:tc>
        <w:tc>
          <w:tcPr>
            <w:tcW w:w="611" w:type="pct"/>
            <w:tcBorders>
              <w:bottom w:val="single" w:sz="4" w:space="0" w:color="auto"/>
            </w:tcBorders>
          </w:tcPr>
          <w:p w:rsidR="00595829" w:rsidRDefault="00595829" w:rsidP="00595829">
            <w:pPr>
              <w:pStyle w:val="TableText"/>
              <w:rPr>
                <w:sz w:val="19"/>
              </w:rPr>
            </w:pPr>
            <w:r>
              <w:rPr>
                <w:w w:val="105"/>
                <w:sz w:val="19"/>
              </w:rPr>
              <w:t>8.1</w:t>
            </w:r>
          </w:p>
        </w:tc>
        <w:tc>
          <w:tcPr>
            <w:tcW w:w="611" w:type="pct"/>
            <w:tcBorders>
              <w:bottom w:val="single" w:sz="4" w:space="0" w:color="auto"/>
            </w:tcBorders>
          </w:tcPr>
          <w:p w:rsidR="00595829" w:rsidRDefault="00595829" w:rsidP="00595829">
            <w:pPr>
              <w:pStyle w:val="TableText"/>
              <w:rPr>
                <w:rFonts w:ascii="Times New Roman"/>
              </w:rPr>
            </w:pPr>
          </w:p>
        </w:tc>
        <w:tc>
          <w:tcPr>
            <w:tcW w:w="611" w:type="pct"/>
            <w:tcBorders>
              <w:bottom w:val="single" w:sz="4" w:space="0" w:color="auto"/>
            </w:tcBorders>
          </w:tcPr>
          <w:p w:rsidR="00595829" w:rsidRDefault="00595829" w:rsidP="00595829">
            <w:pPr>
              <w:pStyle w:val="TableText"/>
              <w:rPr>
                <w:sz w:val="19"/>
              </w:rPr>
            </w:pPr>
            <w:r>
              <w:rPr>
                <w:w w:val="105"/>
                <w:sz w:val="19"/>
              </w:rPr>
              <w:t>12.5</w:t>
            </w:r>
          </w:p>
        </w:tc>
        <w:tc>
          <w:tcPr>
            <w:tcW w:w="609" w:type="pct"/>
            <w:tcBorders>
              <w:bottom w:val="single" w:sz="4" w:space="0" w:color="auto"/>
            </w:tcBorders>
          </w:tcPr>
          <w:p w:rsidR="00595829" w:rsidRDefault="00595829" w:rsidP="00595829">
            <w:pPr>
              <w:pStyle w:val="TableText"/>
              <w:rPr>
                <w:sz w:val="19"/>
              </w:rPr>
            </w:pPr>
            <w:r>
              <w:rPr>
                <w:w w:val="105"/>
                <w:sz w:val="19"/>
              </w:rPr>
              <w:t>4.4</w:t>
            </w:r>
          </w:p>
        </w:tc>
      </w:tr>
      <w:tr w:rsidR="00595829" w:rsidRPr="00595829" w:rsidTr="00595829">
        <w:tc>
          <w:tcPr>
            <w:tcW w:w="1336" w:type="pct"/>
            <w:tcBorders>
              <w:top w:val="single" w:sz="4" w:space="0" w:color="auto"/>
              <w:left w:val="single" w:sz="4" w:space="0" w:color="auto"/>
              <w:bottom w:val="single" w:sz="4" w:space="0" w:color="auto"/>
              <w:right w:val="nil"/>
            </w:tcBorders>
            <w:shd w:val="clear" w:color="auto" w:fill="F2F2F2" w:themeFill="background1" w:themeFillShade="F2"/>
          </w:tcPr>
          <w:p w:rsidR="00595829" w:rsidRPr="00595829" w:rsidRDefault="00595829" w:rsidP="00595829">
            <w:pPr>
              <w:pStyle w:val="TableText"/>
              <w:rPr>
                <w:b/>
              </w:rPr>
            </w:pPr>
            <w:r w:rsidRPr="00595829">
              <w:rPr>
                <w:b/>
              </w:rPr>
              <w:t xml:space="preserve">Other </w:t>
            </w:r>
          </w:p>
        </w:tc>
        <w:tc>
          <w:tcPr>
            <w:tcW w:w="611" w:type="pct"/>
            <w:tcBorders>
              <w:top w:val="single" w:sz="4" w:space="0" w:color="auto"/>
              <w:left w:val="nil"/>
              <w:bottom w:val="single" w:sz="4" w:space="0" w:color="auto"/>
              <w:right w:val="nil"/>
            </w:tcBorders>
            <w:shd w:val="clear" w:color="auto" w:fill="F2F2F2" w:themeFill="background1" w:themeFillShade="F2"/>
          </w:tcPr>
          <w:p w:rsidR="00595829" w:rsidRPr="00595829" w:rsidRDefault="00595829" w:rsidP="00595829">
            <w:pPr>
              <w:pStyle w:val="TableText"/>
              <w:rPr>
                <w:b/>
              </w:rPr>
            </w:pPr>
          </w:p>
        </w:tc>
        <w:tc>
          <w:tcPr>
            <w:tcW w:w="611" w:type="pct"/>
            <w:tcBorders>
              <w:top w:val="single" w:sz="4" w:space="0" w:color="auto"/>
              <w:left w:val="nil"/>
              <w:bottom w:val="single" w:sz="4" w:space="0" w:color="auto"/>
              <w:right w:val="nil"/>
            </w:tcBorders>
            <w:shd w:val="clear" w:color="auto" w:fill="F2F2F2" w:themeFill="background1" w:themeFillShade="F2"/>
          </w:tcPr>
          <w:p w:rsidR="00595829" w:rsidRDefault="00595829" w:rsidP="00595829">
            <w:pPr>
              <w:pStyle w:val="TableText"/>
              <w:rPr>
                <w:sz w:val="19"/>
              </w:rPr>
            </w:pPr>
          </w:p>
        </w:tc>
        <w:tc>
          <w:tcPr>
            <w:tcW w:w="611" w:type="pct"/>
            <w:tcBorders>
              <w:top w:val="single" w:sz="4" w:space="0" w:color="auto"/>
              <w:left w:val="nil"/>
              <w:bottom w:val="single" w:sz="4" w:space="0" w:color="auto"/>
              <w:right w:val="nil"/>
            </w:tcBorders>
            <w:shd w:val="clear" w:color="auto" w:fill="F2F2F2" w:themeFill="background1" w:themeFillShade="F2"/>
          </w:tcPr>
          <w:p w:rsidR="00595829" w:rsidRDefault="00595829" w:rsidP="00595829">
            <w:pPr>
              <w:pStyle w:val="TableText"/>
              <w:rPr>
                <w:sz w:val="19"/>
              </w:rPr>
            </w:pPr>
          </w:p>
        </w:tc>
        <w:tc>
          <w:tcPr>
            <w:tcW w:w="611" w:type="pct"/>
            <w:tcBorders>
              <w:top w:val="single" w:sz="4" w:space="0" w:color="auto"/>
              <w:left w:val="nil"/>
              <w:bottom w:val="single" w:sz="4" w:space="0" w:color="auto"/>
              <w:right w:val="nil"/>
            </w:tcBorders>
            <w:shd w:val="clear" w:color="auto" w:fill="F2F2F2" w:themeFill="background1" w:themeFillShade="F2"/>
          </w:tcPr>
          <w:p w:rsidR="00595829" w:rsidRDefault="00595829" w:rsidP="00595829">
            <w:pPr>
              <w:pStyle w:val="TableText"/>
              <w:rPr>
                <w:rFonts w:ascii="Times New Roman"/>
              </w:rPr>
            </w:pPr>
          </w:p>
        </w:tc>
        <w:tc>
          <w:tcPr>
            <w:tcW w:w="611" w:type="pct"/>
            <w:tcBorders>
              <w:top w:val="single" w:sz="4" w:space="0" w:color="auto"/>
              <w:left w:val="nil"/>
              <w:bottom w:val="single" w:sz="4" w:space="0" w:color="auto"/>
              <w:right w:val="nil"/>
            </w:tcBorders>
            <w:shd w:val="clear" w:color="auto" w:fill="F2F2F2" w:themeFill="background1" w:themeFillShade="F2"/>
          </w:tcPr>
          <w:p w:rsidR="00595829" w:rsidRDefault="00595829" w:rsidP="00595829">
            <w:pPr>
              <w:pStyle w:val="TableText"/>
              <w:rPr>
                <w:sz w:val="19"/>
              </w:rPr>
            </w:pPr>
          </w:p>
        </w:tc>
        <w:tc>
          <w:tcPr>
            <w:tcW w:w="609" w:type="pct"/>
            <w:tcBorders>
              <w:top w:val="single" w:sz="4" w:space="0" w:color="auto"/>
              <w:left w:val="nil"/>
              <w:bottom w:val="single" w:sz="4" w:space="0" w:color="auto"/>
              <w:right w:val="single" w:sz="4" w:space="0" w:color="auto"/>
            </w:tcBorders>
            <w:shd w:val="clear" w:color="auto" w:fill="F2F2F2" w:themeFill="background1" w:themeFillShade="F2"/>
          </w:tcPr>
          <w:p w:rsidR="00595829" w:rsidRDefault="00595829" w:rsidP="00595829">
            <w:pPr>
              <w:pStyle w:val="TableText"/>
              <w:rPr>
                <w:sz w:val="19"/>
              </w:rPr>
            </w:pPr>
          </w:p>
        </w:tc>
      </w:tr>
      <w:tr w:rsidR="00595829" w:rsidRPr="006A3B93" w:rsidTr="00595829">
        <w:tc>
          <w:tcPr>
            <w:tcW w:w="1336" w:type="pct"/>
            <w:tcBorders>
              <w:top w:val="single" w:sz="4" w:space="0" w:color="auto"/>
            </w:tcBorders>
          </w:tcPr>
          <w:p w:rsidR="00595829" w:rsidRPr="006A3B93" w:rsidRDefault="00595829" w:rsidP="00595829">
            <w:pPr>
              <w:pStyle w:val="TableText"/>
            </w:pPr>
            <w:r w:rsidRPr="006A3B93">
              <w:t>$Mean</w:t>
            </w:r>
          </w:p>
        </w:tc>
        <w:tc>
          <w:tcPr>
            <w:tcW w:w="611" w:type="pct"/>
            <w:tcBorders>
              <w:top w:val="single" w:sz="4" w:space="0" w:color="auto"/>
            </w:tcBorders>
          </w:tcPr>
          <w:p w:rsidR="00595829" w:rsidRPr="006A3B93" w:rsidRDefault="00595829" w:rsidP="00595829">
            <w:pPr>
              <w:pStyle w:val="TableText"/>
            </w:pPr>
          </w:p>
        </w:tc>
        <w:tc>
          <w:tcPr>
            <w:tcW w:w="611" w:type="pct"/>
            <w:tcBorders>
              <w:top w:val="single" w:sz="4" w:space="0" w:color="auto"/>
            </w:tcBorders>
          </w:tcPr>
          <w:p w:rsidR="00595829" w:rsidRDefault="00595829" w:rsidP="00595829">
            <w:pPr>
              <w:pStyle w:val="TableText"/>
              <w:rPr>
                <w:sz w:val="19"/>
              </w:rPr>
            </w:pPr>
            <w:r>
              <w:rPr>
                <w:w w:val="105"/>
                <w:sz w:val="19"/>
              </w:rPr>
              <w:t>20</w:t>
            </w:r>
          </w:p>
        </w:tc>
        <w:tc>
          <w:tcPr>
            <w:tcW w:w="611" w:type="pct"/>
            <w:tcBorders>
              <w:top w:val="single" w:sz="4" w:space="0" w:color="auto"/>
            </w:tcBorders>
          </w:tcPr>
          <w:p w:rsidR="00595829" w:rsidRDefault="00595829" w:rsidP="00595829">
            <w:pPr>
              <w:pStyle w:val="TableText"/>
              <w:rPr>
                <w:sz w:val="19"/>
              </w:rPr>
            </w:pPr>
            <w:r>
              <w:rPr>
                <w:w w:val="105"/>
                <w:sz w:val="19"/>
              </w:rPr>
              <w:t>90</w:t>
            </w:r>
          </w:p>
        </w:tc>
        <w:tc>
          <w:tcPr>
            <w:tcW w:w="611" w:type="pct"/>
            <w:tcBorders>
              <w:top w:val="single" w:sz="4" w:space="0" w:color="auto"/>
            </w:tcBorders>
          </w:tcPr>
          <w:p w:rsidR="00595829" w:rsidRDefault="00595829" w:rsidP="00595829">
            <w:pPr>
              <w:pStyle w:val="TableText"/>
              <w:rPr>
                <w:rFonts w:ascii="Times New Roman"/>
              </w:rPr>
            </w:pPr>
          </w:p>
        </w:tc>
        <w:tc>
          <w:tcPr>
            <w:tcW w:w="611" w:type="pct"/>
            <w:tcBorders>
              <w:top w:val="single" w:sz="4" w:space="0" w:color="auto"/>
            </w:tcBorders>
          </w:tcPr>
          <w:p w:rsidR="00595829" w:rsidRDefault="00595829" w:rsidP="00595829">
            <w:pPr>
              <w:pStyle w:val="TableText"/>
              <w:rPr>
                <w:sz w:val="19"/>
              </w:rPr>
            </w:pPr>
            <w:r>
              <w:rPr>
                <w:w w:val="105"/>
                <w:sz w:val="19"/>
              </w:rPr>
              <w:t>375</w:t>
            </w:r>
          </w:p>
        </w:tc>
        <w:tc>
          <w:tcPr>
            <w:tcW w:w="609" w:type="pct"/>
            <w:tcBorders>
              <w:top w:val="single" w:sz="4" w:space="0" w:color="auto"/>
            </w:tcBorders>
          </w:tcPr>
          <w:p w:rsidR="00595829" w:rsidRDefault="00595829" w:rsidP="00595829">
            <w:pPr>
              <w:pStyle w:val="TableText"/>
              <w:rPr>
                <w:sz w:val="19"/>
              </w:rPr>
            </w:pPr>
            <w:r>
              <w:rPr>
                <w:w w:val="105"/>
                <w:sz w:val="19"/>
              </w:rPr>
              <w:t>258</w:t>
            </w:r>
          </w:p>
        </w:tc>
      </w:tr>
      <w:tr w:rsidR="00595829" w:rsidRPr="006A3B93" w:rsidTr="00595829">
        <w:tc>
          <w:tcPr>
            <w:tcW w:w="1336" w:type="pct"/>
          </w:tcPr>
          <w:p w:rsidR="00595829" w:rsidRPr="006A3B93" w:rsidRDefault="00595829" w:rsidP="00595829">
            <w:pPr>
              <w:pStyle w:val="TableText"/>
            </w:pPr>
            <w:r w:rsidRPr="006A3B93">
              <w:t>%</w:t>
            </w:r>
          </w:p>
        </w:tc>
        <w:tc>
          <w:tcPr>
            <w:tcW w:w="611" w:type="pct"/>
          </w:tcPr>
          <w:p w:rsidR="00595829" w:rsidRPr="006A3B93" w:rsidRDefault="00595829" w:rsidP="00595829">
            <w:pPr>
              <w:pStyle w:val="TableText"/>
            </w:pPr>
          </w:p>
        </w:tc>
        <w:tc>
          <w:tcPr>
            <w:tcW w:w="611" w:type="pct"/>
          </w:tcPr>
          <w:p w:rsidR="00595829" w:rsidRDefault="00595829" w:rsidP="00595829">
            <w:pPr>
              <w:pStyle w:val="TableText"/>
              <w:rPr>
                <w:sz w:val="19"/>
              </w:rPr>
            </w:pPr>
            <w:r>
              <w:rPr>
                <w:w w:val="105"/>
                <w:sz w:val="19"/>
              </w:rPr>
              <w:t>0.8</w:t>
            </w:r>
          </w:p>
        </w:tc>
        <w:tc>
          <w:tcPr>
            <w:tcW w:w="611" w:type="pct"/>
          </w:tcPr>
          <w:p w:rsidR="00595829" w:rsidRDefault="00595829" w:rsidP="00595829">
            <w:pPr>
              <w:pStyle w:val="TableText"/>
              <w:rPr>
                <w:sz w:val="19"/>
              </w:rPr>
            </w:pPr>
            <w:r>
              <w:rPr>
                <w:w w:val="105"/>
                <w:sz w:val="19"/>
              </w:rPr>
              <w:t>2.0</w:t>
            </w:r>
          </w:p>
        </w:tc>
        <w:tc>
          <w:tcPr>
            <w:tcW w:w="611" w:type="pct"/>
          </w:tcPr>
          <w:p w:rsidR="00595829" w:rsidRDefault="00595829" w:rsidP="00595829">
            <w:pPr>
              <w:pStyle w:val="TableText"/>
              <w:rPr>
                <w:rFonts w:ascii="Times New Roman"/>
              </w:rPr>
            </w:pPr>
          </w:p>
        </w:tc>
        <w:tc>
          <w:tcPr>
            <w:tcW w:w="611" w:type="pct"/>
          </w:tcPr>
          <w:p w:rsidR="00595829" w:rsidRDefault="00595829" w:rsidP="00595829">
            <w:pPr>
              <w:pStyle w:val="TableText"/>
              <w:rPr>
                <w:sz w:val="19"/>
              </w:rPr>
            </w:pPr>
            <w:r>
              <w:rPr>
                <w:w w:val="105"/>
                <w:sz w:val="19"/>
              </w:rPr>
              <w:t>8.3</w:t>
            </w:r>
          </w:p>
        </w:tc>
        <w:tc>
          <w:tcPr>
            <w:tcW w:w="609" w:type="pct"/>
          </w:tcPr>
          <w:p w:rsidR="00595829" w:rsidRDefault="00595829" w:rsidP="00595829">
            <w:pPr>
              <w:pStyle w:val="TableText"/>
              <w:rPr>
                <w:sz w:val="19"/>
              </w:rPr>
            </w:pPr>
            <w:r>
              <w:rPr>
                <w:w w:val="105"/>
                <w:sz w:val="19"/>
              </w:rPr>
              <w:t>3.8</w:t>
            </w:r>
          </w:p>
        </w:tc>
      </w:tr>
    </w:tbl>
    <w:p w:rsidR="006A3B93" w:rsidRDefault="006A3B93" w:rsidP="00515EA8"/>
    <w:p w:rsidR="00C33263" w:rsidRDefault="00C33263" w:rsidP="00C33263">
      <w:pPr>
        <w:pStyle w:val="Heading2"/>
      </w:pPr>
      <w:bookmarkStart w:id="30" w:name="_Toc517270332"/>
      <w:r>
        <w:t>3.1 Government Support</w:t>
      </w:r>
      <w:bookmarkEnd w:id="30"/>
    </w:p>
    <w:p w:rsidR="00C33263" w:rsidRDefault="00C33263" w:rsidP="00C33263">
      <w:r>
        <w:t>The most significant income support mechanisms available to students in higher education remains the Youth Allowance (YA) for those aged under 25 and Austudy for those aged 25 and over. These forms of support have evolved over time with eligibility criteria being redefined and various additional incentives introduced in response to government policy initiatives. YA began in 1998 as the main income support system for young students replacing Youth Training Allowance, Newstart Allowance and Student Allowance for those who were unemployed and aged 15–20 years. YA also replaced Austudy for those students aged 16–24 years and older students starting a course before turning 25 years of age. To obtain YA, students could qualify as either ‘dependent’, where eligibility was determined in relation to a parental income and assets test, or ‘independent’ where assessment was then made in relation to their personal income and assets.</w:t>
      </w:r>
    </w:p>
    <w:p w:rsidR="00C33263" w:rsidRDefault="00C33263" w:rsidP="00C33263">
      <w:r>
        <w:t>Survey data shows that of those aged under 25, 170 students (46.7%) received YA and for students aged 25 and over 24 received Austudy (10.8%). This means that approximately one third of respondents received some form of study allowance that can vary between $283.80 per week for those who are single with children (both Austudy and YA have the same rate) to $142.60 for those who receive a dependent YA allowance and are living at home with no children. Another 60 respondents nominated that they received ‘other’ government allowances that included disability, parenting, Newstart Allowance and Carer Allowance, and come with a range of ‘add on’ factors for various hardship circumstances.</w:t>
      </w:r>
    </w:p>
    <w:p w:rsidR="00C33263" w:rsidRDefault="00C33263" w:rsidP="00C33263">
      <w:r>
        <w:t>Concentrating on study support, reasons for ineligibility is a complex issue, with students needing to navigate and disclose parental and personal income and assets and determine which pathway may be best to secure government support. However, it is clear that the process and timing for applications can be quite a challenge and contribute to significant student stress. In a previous study on regional students and Youth Allowance, Godden (2007) found participant attitudes towards the government income support system to be overwhelmingly negative as a result of the processes involved and the strict eligibility requirements. It was reported that the income support system created additional barriers for regional students’ access to higher education, as opposed to a support mechanism that assisted widening participation policies (Godden 2007). While there may have been some streamlining of the system between the time of the Godden study and this report, evidence from interviews in 2015 suggest that procedural issues continue.</w:t>
      </w:r>
    </w:p>
    <w:p w:rsidR="00C33263" w:rsidRDefault="00C33263" w:rsidP="00C33263">
      <w:r>
        <w:t>Comments made by interviewees echo these earlier views, indicating that the application process for income support continues to be a confusing process, with students finding it difficult to obtain assistance and guidance in navigating the system.</w:t>
      </w:r>
    </w:p>
    <w:p w:rsidR="00DA1E63" w:rsidRDefault="00DA1E63" w:rsidP="00DA1E63">
      <w:pPr>
        <w:pStyle w:val="Quote"/>
      </w:pPr>
      <w:r>
        <w:t xml:space="preserve">Centrelink is not easy, and I understand that it’s not meant to be easy ... but it’s really difficult. There’s letters that you have to write and forms that have to be signed by your parents who are in a different town (three hours away) and you’ve got to mail it to them and they mail it back. </w:t>
      </w:r>
      <w:r w:rsidRPr="00DA1E63">
        <w:rPr>
          <w:i w:val="0"/>
        </w:rPr>
        <w:t>Mia</w:t>
      </w:r>
    </w:p>
    <w:p w:rsidR="00DA1E63" w:rsidRDefault="00DA1E63" w:rsidP="00DA1E63">
      <w:pPr>
        <w:pStyle w:val="Quote"/>
        <w:rPr>
          <w:i w:val="0"/>
        </w:rPr>
      </w:pPr>
      <w:r>
        <w:t xml:space="preserve">It took me a good six to eight months to first initially get my Centrelink payments ... honestly I think that was crap. We did all the correct application processes and that sort of stuff, and then they stuffed us around a bit saying, ‘you need this extra document ... you need this statement ... you need this and that’, and it took six to eight months to actually get it, and then I got nearly $10, 000 back pay because they took so long. And then apparently they were paying me too much, so they cut that ... and then they increased it and then they cut it again ... </w:t>
      </w:r>
      <w:r w:rsidRPr="00DA1E63">
        <w:rPr>
          <w:i w:val="0"/>
        </w:rPr>
        <w:t>Lily</w:t>
      </w:r>
    </w:p>
    <w:p w:rsidR="00DA1E63" w:rsidRDefault="00DA1E63" w:rsidP="00DA1E63">
      <w:pPr>
        <w:ind w:left="567"/>
      </w:pPr>
      <w:r w:rsidRPr="00DA1E63">
        <w:rPr>
          <w:b/>
        </w:rPr>
        <w:t>Recommendation 3</w:t>
      </w:r>
      <w:r>
        <w:rPr>
          <w:b/>
        </w:rPr>
        <w:t>:</w:t>
      </w:r>
      <w:r>
        <w:rPr>
          <w:b/>
        </w:rPr>
        <w:br/>
      </w:r>
      <w:r>
        <w:t>A gap currently exists in relation to the communication of information in relation to the documentary process and the timing for applications for government allowance. Centrelink and the sector to consider revising the communication flow to students</w:t>
      </w:r>
    </w:p>
    <w:p w:rsidR="00B207AC" w:rsidRDefault="00B207AC" w:rsidP="00B207AC">
      <w:r>
        <w:t>Subsequent to Godden’s (2007) study, a number of reports including the ‘Bradley Review’ (2008) and ‘Dow Report’ (2011) have highlighted the need for Australia’s income support system to better address the financial needs of low SES, Indigenous and regional and remote students. Following a review of income support programs in 2011, income support changes were made by the government in 2012. The changes were intended particularly to benefit students from low SES backgrounds and regional students who move away from home for study, and formed part of the package of reforms to support the target of 40% participation in higher education by 25–34 year olds. Some of the reforms included: increasing the value of Relocation Scholarships; providing support for those relocating from regional Australia for study; raising parental income test thresholds; lowering the age of independence for support eligibility; and raising the personal income threshold. Despite these changes many regional students find themselves ineligible for income support and other associated government assistance, including scholarships.</w:t>
      </w:r>
    </w:p>
    <w:p w:rsidR="00B207AC" w:rsidRDefault="00B207AC" w:rsidP="00B207AC">
      <w:r>
        <w:t>While the above mentioned changes may have improved access to higher education for some, interviewees indicated that there were gaps in processes, with some students receiving no income support to enable the pursuit of further education.</w:t>
      </w:r>
    </w:p>
    <w:p w:rsidR="00B207AC" w:rsidRDefault="00B207AC" w:rsidP="00B207AC">
      <w:pPr>
        <w:pStyle w:val="Quote"/>
      </w:pPr>
      <w:r>
        <w:t xml:space="preserve">I didn’t get Youth Allowance because my parents earned just over (so I didn’t quality for it), and that means I couldn’t get any scholarships because all the scholarships needed Youth Allowance to demonstrate financial disadvantage. </w:t>
      </w:r>
      <w:r w:rsidRPr="00B207AC">
        <w:rPr>
          <w:i w:val="0"/>
        </w:rPr>
        <w:t>Isla</w:t>
      </w:r>
    </w:p>
    <w:p w:rsidR="00B207AC" w:rsidRDefault="00B207AC" w:rsidP="00B207AC">
      <w:pPr>
        <w:pStyle w:val="Quote"/>
      </w:pPr>
      <w:r>
        <w:t>We did look into whether I drop my hours back to see if I would be entitled to some sort of Austudy, but no. They won’t give us a cent because I’ve got a</w:t>
      </w:r>
    </w:p>
    <w:p w:rsidR="00B207AC" w:rsidRDefault="00B207AC" w:rsidP="00B207AC">
      <w:pPr>
        <w:pStyle w:val="Quote"/>
        <w:rPr>
          <w:i w:val="0"/>
        </w:rPr>
      </w:pPr>
      <w:r>
        <w:t xml:space="preserve">0.6 contract and they said that as far as they’re concerned I should maintain that contract ... if I drop it that’s my choice, so they won’t give me anything if I drop it. </w:t>
      </w:r>
      <w:r w:rsidRPr="00B207AC">
        <w:rPr>
          <w:i w:val="0"/>
        </w:rPr>
        <w:t>Emily</w:t>
      </w:r>
    </w:p>
    <w:p w:rsidR="00B207AC" w:rsidRDefault="00B207AC" w:rsidP="00B207AC">
      <w:r w:rsidRPr="00B207AC">
        <w:t>Table 5 details the number of regional students that receive government study allowances by income support type, age group and whether the student had relocated for the purpose of attending university.</w:t>
      </w:r>
    </w:p>
    <w:p w:rsidR="00B207AC" w:rsidRDefault="00B207AC" w:rsidP="00B207AC"/>
    <w:p w:rsidR="00B207AC" w:rsidRDefault="00B207AC" w:rsidP="00B207AC">
      <w:pPr>
        <w:pStyle w:val="TableTitles"/>
      </w:pPr>
      <w:bookmarkStart w:id="31" w:name="_Toc517270499"/>
      <w:r>
        <w:t xml:space="preserve">Table </w:t>
      </w:r>
      <w:fldSimple w:instr=" SEQ Table \* ARABIC ">
        <w:r w:rsidR="00766065">
          <w:rPr>
            <w:noProof/>
          </w:rPr>
          <w:t>5</w:t>
        </w:r>
      </w:fldSimple>
      <w:r>
        <w:t xml:space="preserve">: </w:t>
      </w:r>
      <w:r w:rsidRPr="00E97AEE">
        <w:t>Proportion of students on government allowances</w:t>
      </w:r>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85" w:type="dxa"/>
          <w:bottom w:w="11" w:type="dxa"/>
          <w:right w:w="85" w:type="dxa"/>
        </w:tblCellMar>
        <w:tblLook w:val="01E0" w:firstRow="1" w:lastRow="1" w:firstColumn="1" w:lastColumn="1" w:noHBand="0" w:noVBand="0"/>
        <w:tblCaption w:val="Table 5"/>
        <w:tblDescription w:val="Table displaying the proportion of students on government allowances, split into: Under 25 ( Relocated and Non-relocated n and %); and 25+ (Relocated and Non-relocated n and %)."/>
      </w:tblPr>
      <w:tblGrid>
        <w:gridCol w:w="1701"/>
        <w:gridCol w:w="916"/>
        <w:gridCol w:w="916"/>
        <w:gridCol w:w="916"/>
        <w:gridCol w:w="916"/>
        <w:gridCol w:w="916"/>
        <w:gridCol w:w="915"/>
        <w:gridCol w:w="915"/>
        <w:gridCol w:w="915"/>
      </w:tblGrid>
      <w:tr w:rsidR="00B207AC" w:rsidRPr="00B207AC" w:rsidTr="00B207AC">
        <w:trPr>
          <w:tblHeader/>
        </w:trPr>
        <w:tc>
          <w:tcPr>
            <w:tcW w:w="942" w:type="pct"/>
            <w:tcBorders>
              <w:top w:val="nil"/>
              <w:left w:val="nil"/>
              <w:bottom w:val="nil"/>
              <w:right w:val="single" w:sz="4" w:space="0" w:color="auto"/>
            </w:tcBorders>
            <w:shd w:val="clear" w:color="auto" w:fill="auto"/>
          </w:tcPr>
          <w:p w:rsidR="00B207AC" w:rsidRPr="00B207AC" w:rsidRDefault="00B207AC" w:rsidP="007D0961">
            <w:pPr>
              <w:pStyle w:val="TableText"/>
              <w:rPr>
                <w:sz w:val="17"/>
                <w:szCs w:val="17"/>
              </w:rPr>
            </w:pPr>
          </w:p>
        </w:tc>
        <w:tc>
          <w:tcPr>
            <w:tcW w:w="507" w:type="pct"/>
            <w:tcBorders>
              <w:top w:val="single" w:sz="4" w:space="0" w:color="auto"/>
              <w:left w:val="single" w:sz="4" w:space="0" w:color="auto"/>
              <w:bottom w:val="single" w:sz="4" w:space="0" w:color="auto"/>
              <w:right w:val="nil"/>
            </w:tcBorders>
            <w:shd w:val="clear" w:color="auto" w:fill="5B9BD5" w:themeFill="accent1"/>
          </w:tcPr>
          <w:p w:rsidR="00B207AC" w:rsidRPr="00B207AC" w:rsidRDefault="00B207AC" w:rsidP="007D0961">
            <w:pPr>
              <w:pStyle w:val="TableText"/>
              <w:rPr>
                <w:b/>
                <w:color w:val="FFFFFF" w:themeColor="background1"/>
                <w:sz w:val="17"/>
                <w:szCs w:val="17"/>
              </w:rPr>
            </w:pPr>
            <w:r w:rsidRPr="00B207AC">
              <w:rPr>
                <w:b/>
                <w:color w:val="FFFFFF" w:themeColor="background1"/>
                <w:sz w:val="17"/>
                <w:szCs w:val="17"/>
              </w:rPr>
              <w:t>Under 25</w:t>
            </w:r>
          </w:p>
        </w:tc>
        <w:tc>
          <w:tcPr>
            <w:tcW w:w="507" w:type="pct"/>
            <w:tcBorders>
              <w:top w:val="single" w:sz="4" w:space="0" w:color="auto"/>
              <w:left w:val="nil"/>
              <w:bottom w:val="single" w:sz="4" w:space="0" w:color="auto"/>
              <w:right w:val="nil"/>
            </w:tcBorders>
            <w:shd w:val="clear" w:color="auto" w:fill="5B9BD5" w:themeFill="accent1"/>
          </w:tcPr>
          <w:p w:rsidR="00B207AC" w:rsidRPr="00B207AC" w:rsidRDefault="00B207AC" w:rsidP="007D0961">
            <w:pPr>
              <w:pStyle w:val="TableText"/>
              <w:rPr>
                <w:b/>
                <w:color w:val="FFFFFF" w:themeColor="background1"/>
                <w:sz w:val="17"/>
                <w:szCs w:val="17"/>
              </w:rPr>
            </w:pPr>
          </w:p>
        </w:tc>
        <w:tc>
          <w:tcPr>
            <w:tcW w:w="507" w:type="pct"/>
            <w:tcBorders>
              <w:top w:val="single" w:sz="4" w:space="0" w:color="auto"/>
              <w:left w:val="nil"/>
              <w:bottom w:val="single" w:sz="4" w:space="0" w:color="auto"/>
              <w:right w:val="nil"/>
            </w:tcBorders>
            <w:shd w:val="clear" w:color="auto" w:fill="5B9BD5" w:themeFill="accent1"/>
          </w:tcPr>
          <w:p w:rsidR="00B207AC" w:rsidRPr="00B207AC" w:rsidRDefault="00B207AC" w:rsidP="007D0961">
            <w:pPr>
              <w:pStyle w:val="TableText"/>
              <w:rPr>
                <w:b/>
                <w:color w:val="FFFFFF" w:themeColor="background1"/>
                <w:sz w:val="17"/>
                <w:szCs w:val="17"/>
              </w:rPr>
            </w:pPr>
          </w:p>
        </w:tc>
        <w:tc>
          <w:tcPr>
            <w:tcW w:w="507" w:type="pct"/>
            <w:tcBorders>
              <w:top w:val="single" w:sz="4" w:space="0" w:color="auto"/>
              <w:left w:val="nil"/>
              <w:bottom w:val="single" w:sz="4" w:space="0" w:color="auto"/>
              <w:right w:val="single" w:sz="4" w:space="0" w:color="auto"/>
            </w:tcBorders>
            <w:shd w:val="clear" w:color="auto" w:fill="5B9BD5" w:themeFill="accent1"/>
          </w:tcPr>
          <w:p w:rsidR="00B207AC" w:rsidRPr="00B207AC" w:rsidRDefault="00B207AC" w:rsidP="007D0961">
            <w:pPr>
              <w:pStyle w:val="TableText"/>
              <w:rPr>
                <w:b/>
                <w:color w:val="FFFFFF" w:themeColor="background1"/>
                <w:sz w:val="17"/>
                <w:szCs w:val="17"/>
              </w:rPr>
            </w:pPr>
          </w:p>
        </w:tc>
        <w:tc>
          <w:tcPr>
            <w:tcW w:w="507" w:type="pct"/>
            <w:tcBorders>
              <w:top w:val="single" w:sz="4" w:space="0" w:color="auto"/>
              <w:left w:val="single" w:sz="4" w:space="0" w:color="auto"/>
              <w:bottom w:val="single" w:sz="4" w:space="0" w:color="auto"/>
              <w:right w:val="nil"/>
            </w:tcBorders>
            <w:shd w:val="clear" w:color="auto" w:fill="5B9BD5" w:themeFill="accent1"/>
          </w:tcPr>
          <w:p w:rsidR="00B207AC" w:rsidRPr="00B207AC" w:rsidRDefault="00B207AC" w:rsidP="007D0961">
            <w:pPr>
              <w:pStyle w:val="TableText"/>
              <w:rPr>
                <w:b/>
                <w:color w:val="FFFFFF" w:themeColor="background1"/>
                <w:sz w:val="17"/>
                <w:szCs w:val="17"/>
              </w:rPr>
            </w:pPr>
            <w:r w:rsidRPr="00B207AC">
              <w:rPr>
                <w:b/>
                <w:color w:val="FFFFFF" w:themeColor="background1"/>
                <w:sz w:val="17"/>
                <w:szCs w:val="17"/>
              </w:rPr>
              <w:t>25+</w:t>
            </w:r>
          </w:p>
        </w:tc>
        <w:tc>
          <w:tcPr>
            <w:tcW w:w="507" w:type="pct"/>
            <w:tcBorders>
              <w:top w:val="single" w:sz="4" w:space="0" w:color="auto"/>
              <w:left w:val="nil"/>
              <w:bottom w:val="single" w:sz="4" w:space="0" w:color="auto"/>
              <w:right w:val="nil"/>
            </w:tcBorders>
            <w:shd w:val="clear" w:color="auto" w:fill="5B9BD5" w:themeFill="accent1"/>
          </w:tcPr>
          <w:p w:rsidR="00B207AC" w:rsidRPr="00B207AC" w:rsidRDefault="00B207AC" w:rsidP="007D0961">
            <w:pPr>
              <w:pStyle w:val="TableText"/>
              <w:rPr>
                <w:b/>
                <w:color w:val="FFFFFF" w:themeColor="background1"/>
                <w:sz w:val="17"/>
                <w:szCs w:val="17"/>
              </w:rPr>
            </w:pPr>
          </w:p>
        </w:tc>
        <w:tc>
          <w:tcPr>
            <w:tcW w:w="507" w:type="pct"/>
            <w:tcBorders>
              <w:top w:val="single" w:sz="4" w:space="0" w:color="auto"/>
              <w:left w:val="nil"/>
              <w:bottom w:val="single" w:sz="4" w:space="0" w:color="auto"/>
              <w:right w:val="nil"/>
            </w:tcBorders>
            <w:shd w:val="clear" w:color="auto" w:fill="5B9BD5" w:themeFill="accent1"/>
          </w:tcPr>
          <w:p w:rsidR="00B207AC" w:rsidRPr="00B207AC" w:rsidRDefault="00B207AC" w:rsidP="007D0961">
            <w:pPr>
              <w:pStyle w:val="TableText"/>
              <w:rPr>
                <w:b/>
                <w:color w:val="FFFFFF" w:themeColor="background1"/>
                <w:sz w:val="17"/>
                <w:szCs w:val="17"/>
              </w:rPr>
            </w:pPr>
          </w:p>
        </w:tc>
        <w:tc>
          <w:tcPr>
            <w:tcW w:w="507" w:type="pct"/>
            <w:tcBorders>
              <w:top w:val="single" w:sz="4" w:space="0" w:color="auto"/>
              <w:left w:val="nil"/>
              <w:bottom w:val="single" w:sz="4" w:space="0" w:color="auto"/>
              <w:right w:val="nil"/>
            </w:tcBorders>
            <w:shd w:val="clear" w:color="auto" w:fill="5B9BD5" w:themeFill="accent1"/>
          </w:tcPr>
          <w:p w:rsidR="00B207AC" w:rsidRPr="00B207AC" w:rsidRDefault="00B207AC" w:rsidP="007D0961">
            <w:pPr>
              <w:pStyle w:val="TableText"/>
              <w:rPr>
                <w:b/>
                <w:color w:val="FFFFFF" w:themeColor="background1"/>
                <w:sz w:val="17"/>
                <w:szCs w:val="17"/>
              </w:rPr>
            </w:pPr>
          </w:p>
        </w:tc>
      </w:tr>
      <w:tr w:rsidR="00B207AC" w:rsidRPr="00B207AC" w:rsidTr="00B207AC">
        <w:trPr>
          <w:tblHeader/>
        </w:trPr>
        <w:tc>
          <w:tcPr>
            <w:tcW w:w="942" w:type="pct"/>
            <w:tcBorders>
              <w:top w:val="nil"/>
              <w:left w:val="nil"/>
              <w:bottom w:val="nil"/>
              <w:right w:val="single" w:sz="4" w:space="0" w:color="auto"/>
            </w:tcBorders>
            <w:shd w:val="clear" w:color="auto" w:fill="auto"/>
          </w:tcPr>
          <w:p w:rsidR="00B207AC" w:rsidRPr="00B207AC" w:rsidRDefault="00B207AC" w:rsidP="007D0961">
            <w:pPr>
              <w:pStyle w:val="TableText"/>
              <w:rPr>
                <w:sz w:val="17"/>
                <w:szCs w:val="17"/>
              </w:rPr>
            </w:pPr>
          </w:p>
        </w:tc>
        <w:tc>
          <w:tcPr>
            <w:tcW w:w="507" w:type="pct"/>
            <w:tcBorders>
              <w:top w:val="single" w:sz="4" w:space="0" w:color="auto"/>
              <w:left w:val="single" w:sz="4" w:space="0" w:color="auto"/>
              <w:bottom w:val="single" w:sz="4" w:space="0" w:color="auto"/>
              <w:right w:val="nil"/>
            </w:tcBorders>
            <w:shd w:val="clear" w:color="auto" w:fill="F2F2F2" w:themeFill="background1" w:themeFillShade="F2"/>
          </w:tcPr>
          <w:p w:rsidR="00B207AC" w:rsidRPr="00B207AC" w:rsidRDefault="00B207AC" w:rsidP="007D0961">
            <w:pPr>
              <w:pStyle w:val="TableText"/>
              <w:rPr>
                <w:b/>
                <w:sz w:val="17"/>
                <w:szCs w:val="17"/>
              </w:rPr>
            </w:pPr>
            <w:r w:rsidRPr="00B207AC">
              <w:rPr>
                <w:b/>
                <w:sz w:val="17"/>
                <w:szCs w:val="17"/>
              </w:rPr>
              <w:t>Relocated n=246</w:t>
            </w:r>
          </w:p>
        </w:tc>
        <w:tc>
          <w:tcPr>
            <w:tcW w:w="507" w:type="pct"/>
            <w:tcBorders>
              <w:top w:val="single" w:sz="4" w:space="0" w:color="auto"/>
              <w:left w:val="nil"/>
              <w:bottom w:val="single" w:sz="4" w:space="0" w:color="auto"/>
              <w:right w:val="single" w:sz="4" w:space="0" w:color="auto"/>
            </w:tcBorders>
            <w:shd w:val="clear" w:color="auto" w:fill="F2F2F2" w:themeFill="background1" w:themeFillShade="F2"/>
          </w:tcPr>
          <w:p w:rsidR="00B207AC" w:rsidRPr="00B207AC" w:rsidRDefault="00B207AC" w:rsidP="007D0961">
            <w:pPr>
              <w:pStyle w:val="TableText"/>
              <w:rPr>
                <w:b/>
                <w:sz w:val="17"/>
                <w:szCs w:val="17"/>
              </w:rPr>
            </w:pPr>
          </w:p>
        </w:tc>
        <w:tc>
          <w:tcPr>
            <w:tcW w:w="507" w:type="pct"/>
            <w:tcBorders>
              <w:top w:val="single" w:sz="4" w:space="0" w:color="auto"/>
              <w:left w:val="single" w:sz="4" w:space="0" w:color="auto"/>
              <w:bottom w:val="single" w:sz="4" w:space="0" w:color="auto"/>
              <w:right w:val="nil"/>
            </w:tcBorders>
            <w:shd w:val="clear" w:color="auto" w:fill="F2F2F2" w:themeFill="background1" w:themeFillShade="F2"/>
          </w:tcPr>
          <w:p w:rsidR="00B207AC" w:rsidRPr="00B207AC" w:rsidRDefault="00B207AC" w:rsidP="007D0961">
            <w:pPr>
              <w:pStyle w:val="TableText"/>
              <w:rPr>
                <w:b/>
                <w:sz w:val="17"/>
                <w:szCs w:val="17"/>
              </w:rPr>
            </w:pPr>
            <w:r w:rsidRPr="00B207AC">
              <w:rPr>
                <w:b/>
                <w:sz w:val="17"/>
                <w:szCs w:val="17"/>
              </w:rPr>
              <w:t>Non-relocated</w:t>
            </w:r>
          </w:p>
          <w:p w:rsidR="00B207AC" w:rsidRPr="00B207AC" w:rsidRDefault="00B207AC" w:rsidP="007D0961">
            <w:pPr>
              <w:pStyle w:val="TableText"/>
              <w:rPr>
                <w:b/>
                <w:sz w:val="17"/>
                <w:szCs w:val="17"/>
              </w:rPr>
            </w:pPr>
            <w:r w:rsidRPr="00B207AC">
              <w:rPr>
                <w:b/>
                <w:sz w:val="17"/>
                <w:szCs w:val="17"/>
              </w:rPr>
              <w:t>n=65</w:t>
            </w:r>
          </w:p>
        </w:tc>
        <w:tc>
          <w:tcPr>
            <w:tcW w:w="507" w:type="pct"/>
            <w:tcBorders>
              <w:top w:val="single" w:sz="4" w:space="0" w:color="auto"/>
              <w:left w:val="nil"/>
              <w:bottom w:val="single" w:sz="4" w:space="0" w:color="auto"/>
              <w:right w:val="single" w:sz="4" w:space="0" w:color="auto"/>
            </w:tcBorders>
            <w:shd w:val="clear" w:color="auto" w:fill="F2F2F2" w:themeFill="background1" w:themeFillShade="F2"/>
          </w:tcPr>
          <w:p w:rsidR="00B207AC" w:rsidRPr="00B207AC" w:rsidRDefault="00B207AC" w:rsidP="007D0961">
            <w:pPr>
              <w:pStyle w:val="TableText"/>
              <w:rPr>
                <w:b/>
                <w:sz w:val="17"/>
                <w:szCs w:val="17"/>
              </w:rPr>
            </w:pPr>
          </w:p>
        </w:tc>
        <w:tc>
          <w:tcPr>
            <w:tcW w:w="507" w:type="pct"/>
            <w:tcBorders>
              <w:top w:val="single" w:sz="4" w:space="0" w:color="auto"/>
              <w:left w:val="single" w:sz="4" w:space="0" w:color="auto"/>
              <w:bottom w:val="single" w:sz="4" w:space="0" w:color="auto"/>
              <w:right w:val="nil"/>
            </w:tcBorders>
            <w:shd w:val="clear" w:color="auto" w:fill="F2F2F2" w:themeFill="background1" w:themeFillShade="F2"/>
          </w:tcPr>
          <w:p w:rsidR="00B207AC" w:rsidRPr="00B207AC" w:rsidRDefault="00B207AC" w:rsidP="007D0961">
            <w:pPr>
              <w:pStyle w:val="TableText"/>
              <w:rPr>
                <w:b/>
                <w:sz w:val="17"/>
                <w:szCs w:val="17"/>
              </w:rPr>
            </w:pPr>
            <w:r w:rsidRPr="00B207AC">
              <w:rPr>
                <w:b/>
                <w:sz w:val="17"/>
                <w:szCs w:val="17"/>
              </w:rPr>
              <w:t>Relocated</w:t>
            </w:r>
          </w:p>
          <w:p w:rsidR="00B207AC" w:rsidRPr="00B207AC" w:rsidRDefault="00B207AC" w:rsidP="007D0961">
            <w:pPr>
              <w:pStyle w:val="TableText"/>
              <w:rPr>
                <w:b/>
                <w:sz w:val="17"/>
                <w:szCs w:val="17"/>
              </w:rPr>
            </w:pPr>
            <w:r w:rsidRPr="00B207AC">
              <w:rPr>
                <w:b/>
                <w:sz w:val="17"/>
                <w:szCs w:val="17"/>
              </w:rPr>
              <w:t>N=25</w:t>
            </w:r>
          </w:p>
        </w:tc>
        <w:tc>
          <w:tcPr>
            <w:tcW w:w="507" w:type="pct"/>
            <w:tcBorders>
              <w:top w:val="single" w:sz="4" w:space="0" w:color="auto"/>
              <w:left w:val="nil"/>
              <w:bottom w:val="single" w:sz="4" w:space="0" w:color="auto"/>
              <w:right w:val="single" w:sz="4" w:space="0" w:color="auto"/>
            </w:tcBorders>
            <w:shd w:val="clear" w:color="auto" w:fill="F2F2F2" w:themeFill="background1" w:themeFillShade="F2"/>
          </w:tcPr>
          <w:p w:rsidR="00B207AC" w:rsidRPr="00B207AC" w:rsidRDefault="00B207AC" w:rsidP="007D0961">
            <w:pPr>
              <w:pStyle w:val="TableText"/>
              <w:rPr>
                <w:b/>
                <w:sz w:val="17"/>
                <w:szCs w:val="17"/>
              </w:rPr>
            </w:pPr>
          </w:p>
        </w:tc>
        <w:tc>
          <w:tcPr>
            <w:tcW w:w="507" w:type="pct"/>
            <w:tcBorders>
              <w:top w:val="single" w:sz="4" w:space="0" w:color="auto"/>
              <w:left w:val="single" w:sz="4" w:space="0" w:color="auto"/>
              <w:bottom w:val="single" w:sz="4" w:space="0" w:color="auto"/>
              <w:right w:val="nil"/>
            </w:tcBorders>
            <w:shd w:val="clear" w:color="auto" w:fill="F2F2F2" w:themeFill="background1" w:themeFillShade="F2"/>
          </w:tcPr>
          <w:p w:rsidR="00B207AC" w:rsidRPr="00B207AC" w:rsidRDefault="00B207AC" w:rsidP="00B207AC">
            <w:pPr>
              <w:pStyle w:val="TableText"/>
              <w:rPr>
                <w:b/>
                <w:sz w:val="17"/>
                <w:szCs w:val="17"/>
              </w:rPr>
            </w:pPr>
            <w:r w:rsidRPr="00B207AC">
              <w:rPr>
                <w:b/>
                <w:sz w:val="17"/>
                <w:szCs w:val="17"/>
              </w:rPr>
              <w:t>Non-relocated</w:t>
            </w:r>
          </w:p>
          <w:p w:rsidR="00B207AC" w:rsidRPr="00B207AC" w:rsidRDefault="00B207AC" w:rsidP="00B207AC">
            <w:pPr>
              <w:pStyle w:val="TableText"/>
              <w:rPr>
                <w:b/>
                <w:sz w:val="17"/>
                <w:szCs w:val="17"/>
              </w:rPr>
            </w:pPr>
            <w:r w:rsidRPr="00B207AC">
              <w:rPr>
                <w:b/>
                <w:sz w:val="17"/>
                <w:szCs w:val="17"/>
              </w:rPr>
              <w:t>n=206</w:t>
            </w:r>
          </w:p>
        </w:tc>
        <w:tc>
          <w:tcPr>
            <w:tcW w:w="507" w:type="pct"/>
            <w:tcBorders>
              <w:top w:val="single" w:sz="4" w:space="0" w:color="auto"/>
              <w:left w:val="nil"/>
              <w:bottom w:val="single" w:sz="4" w:space="0" w:color="auto"/>
              <w:right w:val="single" w:sz="4" w:space="0" w:color="auto"/>
            </w:tcBorders>
            <w:shd w:val="clear" w:color="auto" w:fill="F2F2F2" w:themeFill="background1" w:themeFillShade="F2"/>
          </w:tcPr>
          <w:p w:rsidR="00B207AC" w:rsidRPr="00B207AC" w:rsidRDefault="00B207AC" w:rsidP="00B207AC">
            <w:pPr>
              <w:pStyle w:val="TableText"/>
              <w:rPr>
                <w:b/>
                <w:sz w:val="17"/>
                <w:szCs w:val="17"/>
              </w:rPr>
            </w:pPr>
          </w:p>
          <w:p w:rsidR="00B207AC" w:rsidRPr="00B207AC" w:rsidRDefault="00B207AC" w:rsidP="007D0961">
            <w:pPr>
              <w:pStyle w:val="TableText"/>
              <w:rPr>
                <w:b/>
                <w:sz w:val="17"/>
                <w:szCs w:val="17"/>
              </w:rPr>
            </w:pPr>
          </w:p>
        </w:tc>
      </w:tr>
      <w:tr w:rsidR="00B207AC" w:rsidRPr="00B207AC" w:rsidTr="00B207AC">
        <w:trPr>
          <w:tblHeader/>
        </w:trPr>
        <w:tc>
          <w:tcPr>
            <w:tcW w:w="942" w:type="pct"/>
            <w:tcBorders>
              <w:top w:val="nil"/>
              <w:left w:val="nil"/>
              <w:bottom w:val="single" w:sz="4" w:space="0" w:color="auto"/>
              <w:right w:val="single" w:sz="4" w:space="0" w:color="auto"/>
            </w:tcBorders>
            <w:shd w:val="clear" w:color="auto" w:fill="auto"/>
          </w:tcPr>
          <w:p w:rsidR="00B207AC" w:rsidRPr="00B207AC" w:rsidRDefault="00B207AC" w:rsidP="00B207AC">
            <w:pPr>
              <w:pStyle w:val="TableText"/>
              <w:rPr>
                <w:sz w:val="17"/>
                <w:szCs w:val="17"/>
              </w:rPr>
            </w:pPr>
          </w:p>
        </w:tc>
        <w:tc>
          <w:tcPr>
            <w:tcW w:w="507" w:type="pct"/>
            <w:tcBorders>
              <w:top w:val="single" w:sz="4" w:space="0" w:color="auto"/>
              <w:left w:val="single" w:sz="4" w:space="0" w:color="auto"/>
              <w:bottom w:val="single" w:sz="4" w:space="0" w:color="auto"/>
            </w:tcBorders>
            <w:shd w:val="clear" w:color="auto" w:fill="BDD6EE" w:themeFill="accent1" w:themeFillTint="66"/>
          </w:tcPr>
          <w:p w:rsidR="00B207AC" w:rsidRPr="00B207AC" w:rsidRDefault="00B207AC" w:rsidP="00B207AC">
            <w:pPr>
              <w:pStyle w:val="TableText"/>
              <w:rPr>
                <w:b/>
                <w:sz w:val="17"/>
                <w:szCs w:val="17"/>
              </w:rPr>
            </w:pPr>
            <w:r w:rsidRPr="00B207AC">
              <w:rPr>
                <w:b/>
                <w:sz w:val="17"/>
                <w:szCs w:val="17"/>
              </w:rPr>
              <w:t>n</w:t>
            </w:r>
          </w:p>
        </w:tc>
        <w:tc>
          <w:tcPr>
            <w:tcW w:w="507" w:type="pct"/>
            <w:tcBorders>
              <w:top w:val="single" w:sz="4" w:space="0" w:color="auto"/>
              <w:bottom w:val="single" w:sz="4" w:space="0" w:color="auto"/>
            </w:tcBorders>
            <w:shd w:val="clear" w:color="auto" w:fill="BDD6EE" w:themeFill="accent1" w:themeFillTint="66"/>
          </w:tcPr>
          <w:p w:rsidR="00B207AC" w:rsidRPr="00B207AC" w:rsidRDefault="00B207AC" w:rsidP="00B207AC">
            <w:pPr>
              <w:pStyle w:val="TableText"/>
              <w:rPr>
                <w:b/>
                <w:sz w:val="17"/>
                <w:szCs w:val="17"/>
              </w:rPr>
            </w:pPr>
            <w:r w:rsidRPr="00B207AC">
              <w:rPr>
                <w:b/>
                <w:sz w:val="17"/>
                <w:szCs w:val="17"/>
              </w:rPr>
              <w:t>%</w:t>
            </w:r>
          </w:p>
        </w:tc>
        <w:tc>
          <w:tcPr>
            <w:tcW w:w="507" w:type="pct"/>
            <w:tcBorders>
              <w:top w:val="single" w:sz="4" w:space="0" w:color="auto"/>
              <w:bottom w:val="single" w:sz="4" w:space="0" w:color="auto"/>
            </w:tcBorders>
            <w:shd w:val="clear" w:color="auto" w:fill="BDD6EE" w:themeFill="accent1" w:themeFillTint="66"/>
          </w:tcPr>
          <w:p w:rsidR="00B207AC" w:rsidRPr="00B207AC" w:rsidRDefault="00B207AC" w:rsidP="00B207AC">
            <w:pPr>
              <w:pStyle w:val="TableText"/>
              <w:rPr>
                <w:b/>
                <w:sz w:val="17"/>
                <w:szCs w:val="17"/>
              </w:rPr>
            </w:pPr>
            <w:r w:rsidRPr="00B207AC">
              <w:rPr>
                <w:b/>
                <w:sz w:val="17"/>
                <w:szCs w:val="17"/>
              </w:rPr>
              <w:t>n</w:t>
            </w:r>
          </w:p>
        </w:tc>
        <w:tc>
          <w:tcPr>
            <w:tcW w:w="507" w:type="pct"/>
            <w:tcBorders>
              <w:top w:val="single" w:sz="4" w:space="0" w:color="auto"/>
              <w:bottom w:val="single" w:sz="4" w:space="0" w:color="auto"/>
            </w:tcBorders>
            <w:shd w:val="clear" w:color="auto" w:fill="BDD6EE" w:themeFill="accent1" w:themeFillTint="66"/>
          </w:tcPr>
          <w:p w:rsidR="00B207AC" w:rsidRPr="00B207AC" w:rsidRDefault="00B207AC" w:rsidP="00B207AC">
            <w:pPr>
              <w:pStyle w:val="TableText"/>
              <w:rPr>
                <w:b/>
                <w:sz w:val="17"/>
                <w:szCs w:val="17"/>
              </w:rPr>
            </w:pPr>
            <w:r w:rsidRPr="00B207AC">
              <w:rPr>
                <w:b/>
                <w:sz w:val="17"/>
                <w:szCs w:val="17"/>
              </w:rPr>
              <w:t>%</w:t>
            </w:r>
          </w:p>
        </w:tc>
        <w:tc>
          <w:tcPr>
            <w:tcW w:w="507" w:type="pct"/>
            <w:tcBorders>
              <w:top w:val="single" w:sz="4" w:space="0" w:color="auto"/>
              <w:bottom w:val="single" w:sz="4" w:space="0" w:color="auto"/>
            </w:tcBorders>
            <w:shd w:val="clear" w:color="auto" w:fill="BDD6EE" w:themeFill="accent1" w:themeFillTint="66"/>
          </w:tcPr>
          <w:p w:rsidR="00B207AC" w:rsidRPr="00B207AC" w:rsidRDefault="00B207AC" w:rsidP="00B207AC">
            <w:pPr>
              <w:pStyle w:val="TableText"/>
              <w:rPr>
                <w:b/>
                <w:sz w:val="17"/>
                <w:szCs w:val="17"/>
              </w:rPr>
            </w:pPr>
            <w:r w:rsidRPr="00B207AC">
              <w:rPr>
                <w:b/>
                <w:sz w:val="17"/>
                <w:szCs w:val="17"/>
              </w:rPr>
              <w:t>n</w:t>
            </w:r>
          </w:p>
        </w:tc>
        <w:tc>
          <w:tcPr>
            <w:tcW w:w="507" w:type="pct"/>
            <w:tcBorders>
              <w:top w:val="single" w:sz="4" w:space="0" w:color="auto"/>
              <w:bottom w:val="single" w:sz="4" w:space="0" w:color="auto"/>
            </w:tcBorders>
            <w:shd w:val="clear" w:color="auto" w:fill="BDD6EE" w:themeFill="accent1" w:themeFillTint="66"/>
          </w:tcPr>
          <w:p w:rsidR="00B207AC" w:rsidRPr="00B207AC" w:rsidRDefault="00B207AC" w:rsidP="00B207AC">
            <w:pPr>
              <w:pStyle w:val="TableText"/>
              <w:rPr>
                <w:b/>
                <w:sz w:val="17"/>
                <w:szCs w:val="17"/>
              </w:rPr>
            </w:pPr>
            <w:r w:rsidRPr="00B207AC">
              <w:rPr>
                <w:b/>
                <w:sz w:val="17"/>
                <w:szCs w:val="17"/>
              </w:rPr>
              <w:t>%</w:t>
            </w:r>
          </w:p>
        </w:tc>
        <w:tc>
          <w:tcPr>
            <w:tcW w:w="507" w:type="pct"/>
            <w:tcBorders>
              <w:top w:val="single" w:sz="4" w:space="0" w:color="auto"/>
              <w:bottom w:val="single" w:sz="4" w:space="0" w:color="auto"/>
            </w:tcBorders>
            <w:shd w:val="clear" w:color="auto" w:fill="BDD6EE" w:themeFill="accent1" w:themeFillTint="66"/>
          </w:tcPr>
          <w:p w:rsidR="00B207AC" w:rsidRPr="00B207AC" w:rsidRDefault="00B207AC" w:rsidP="00B207AC">
            <w:pPr>
              <w:pStyle w:val="TableText"/>
              <w:rPr>
                <w:b/>
                <w:sz w:val="17"/>
                <w:szCs w:val="17"/>
              </w:rPr>
            </w:pPr>
            <w:r w:rsidRPr="00B207AC">
              <w:rPr>
                <w:b/>
                <w:sz w:val="17"/>
                <w:szCs w:val="17"/>
              </w:rPr>
              <w:t>n</w:t>
            </w:r>
          </w:p>
        </w:tc>
        <w:tc>
          <w:tcPr>
            <w:tcW w:w="507" w:type="pct"/>
            <w:tcBorders>
              <w:top w:val="single" w:sz="4" w:space="0" w:color="auto"/>
              <w:bottom w:val="single" w:sz="4" w:space="0" w:color="auto"/>
            </w:tcBorders>
            <w:shd w:val="clear" w:color="auto" w:fill="BDD6EE" w:themeFill="accent1" w:themeFillTint="66"/>
          </w:tcPr>
          <w:p w:rsidR="00B207AC" w:rsidRPr="00B207AC" w:rsidRDefault="00B207AC" w:rsidP="00B207AC">
            <w:pPr>
              <w:pStyle w:val="TableText"/>
              <w:rPr>
                <w:b/>
                <w:sz w:val="17"/>
                <w:szCs w:val="17"/>
              </w:rPr>
            </w:pPr>
            <w:r w:rsidRPr="00B207AC">
              <w:rPr>
                <w:b/>
                <w:sz w:val="17"/>
                <w:szCs w:val="17"/>
              </w:rPr>
              <w:t>%</w:t>
            </w:r>
          </w:p>
        </w:tc>
      </w:tr>
      <w:tr w:rsidR="00B207AC" w:rsidRPr="00B207AC" w:rsidTr="00B207AC">
        <w:tc>
          <w:tcPr>
            <w:tcW w:w="942" w:type="pct"/>
            <w:tcBorders>
              <w:top w:val="single" w:sz="4" w:space="0" w:color="auto"/>
              <w:left w:val="single" w:sz="4" w:space="0" w:color="auto"/>
              <w:bottom w:val="single" w:sz="4" w:space="0" w:color="auto"/>
              <w:right w:val="single" w:sz="4" w:space="0" w:color="auto"/>
            </w:tcBorders>
            <w:shd w:val="clear" w:color="auto" w:fill="auto"/>
          </w:tcPr>
          <w:p w:rsidR="00B207AC" w:rsidRPr="00B207AC" w:rsidRDefault="00B207AC" w:rsidP="00B207AC">
            <w:pPr>
              <w:pStyle w:val="TableText"/>
              <w:rPr>
                <w:sz w:val="17"/>
                <w:szCs w:val="17"/>
              </w:rPr>
            </w:pPr>
            <w:r w:rsidRPr="00B207AC">
              <w:rPr>
                <w:sz w:val="17"/>
                <w:szCs w:val="17"/>
              </w:rPr>
              <w:t>Dependent YA</w:t>
            </w:r>
          </w:p>
        </w:tc>
        <w:tc>
          <w:tcPr>
            <w:tcW w:w="507" w:type="pct"/>
            <w:tcBorders>
              <w:top w:val="single" w:sz="4" w:space="0" w:color="auto"/>
              <w:left w:val="single" w:sz="4" w:space="0" w:color="auto"/>
              <w:bottom w:val="single" w:sz="4" w:space="0" w:color="auto"/>
              <w:right w:val="single" w:sz="4" w:space="0" w:color="auto"/>
            </w:tcBorders>
            <w:shd w:val="clear" w:color="auto" w:fill="auto"/>
          </w:tcPr>
          <w:p w:rsidR="00B207AC" w:rsidRPr="00B207AC" w:rsidRDefault="00B207AC" w:rsidP="00B207AC">
            <w:pPr>
              <w:pStyle w:val="TableText"/>
              <w:rPr>
                <w:sz w:val="17"/>
                <w:szCs w:val="17"/>
              </w:rPr>
            </w:pPr>
            <w:r w:rsidRPr="00B207AC">
              <w:rPr>
                <w:sz w:val="17"/>
                <w:szCs w:val="17"/>
              </w:rPr>
              <w:t>62</w:t>
            </w:r>
          </w:p>
        </w:tc>
        <w:tc>
          <w:tcPr>
            <w:tcW w:w="507" w:type="pct"/>
            <w:tcBorders>
              <w:top w:val="single" w:sz="4" w:space="0" w:color="auto"/>
              <w:left w:val="single" w:sz="4" w:space="0" w:color="auto"/>
              <w:bottom w:val="single" w:sz="4" w:space="0" w:color="auto"/>
              <w:right w:val="single" w:sz="4" w:space="0" w:color="auto"/>
            </w:tcBorders>
          </w:tcPr>
          <w:p w:rsidR="00B207AC" w:rsidRPr="00B207AC" w:rsidRDefault="00B207AC" w:rsidP="00B207AC">
            <w:pPr>
              <w:pStyle w:val="TableText"/>
              <w:rPr>
                <w:sz w:val="17"/>
                <w:szCs w:val="17"/>
              </w:rPr>
            </w:pPr>
            <w:r w:rsidRPr="00B207AC">
              <w:rPr>
                <w:sz w:val="17"/>
                <w:szCs w:val="17"/>
              </w:rPr>
              <w:t>25.2</w:t>
            </w:r>
          </w:p>
        </w:tc>
        <w:tc>
          <w:tcPr>
            <w:tcW w:w="507" w:type="pct"/>
            <w:tcBorders>
              <w:top w:val="single" w:sz="4" w:space="0" w:color="auto"/>
              <w:left w:val="single" w:sz="4" w:space="0" w:color="auto"/>
              <w:bottom w:val="single" w:sz="4" w:space="0" w:color="auto"/>
              <w:right w:val="single" w:sz="4" w:space="0" w:color="auto"/>
            </w:tcBorders>
            <w:shd w:val="clear" w:color="auto" w:fill="auto"/>
          </w:tcPr>
          <w:p w:rsidR="00B207AC" w:rsidRPr="00B207AC" w:rsidRDefault="00B207AC" w:rsidP="00B207AC">
            <w:pPr>
              <w:pStyle w:val="TableText"/>
              <w:rPr>
                <w:sz w:val="17"/>
                <w:szCs w:val="17"/>
              </w:rPr>
            </w:pPr>
            <w:r w:rsidRPr="00B207AC">
              <w:rPr>
                <w:sz w:val="17"/>
                <w:szCs w:val="17"/>
              </w:rPr>
              <w:t>9</w:t>
            </w:r>
          </w:p>
        </w:tc>
        <w:tc>
          <w:tcPr>
            <w:tcW w:w="507" w:type="pct"/>
            <w:tcBorders>
              <w:top w:val="single" w:sz="4" w:space="0" w:color="auto"/>
              <w:left w:val="single" w:sz="4" w:space="0" w:color="auto"/>
              <w:bottom w:val="single" w:sz="4" w:space="0" w:color="auto"/>
              <w:right w:val="single" w:sz="4" w:space="0" w:color="auto"/>
            </w:tcBorders>
          </w:tcPr>
          <w:p w:rsidR="00B207AC" w:rsidRPr="00B207AC" w:rsidRDefault="00B207AC" w:rsidP="00B207AC">
            <w:pPr>
              <w:pStyle w:val="TableText"/>
              <w:rPr>
                <w:sz w:val="17"/>
                <w:szCs w:val="17"/>
              </w:rPr>
            </w:pPr>
            <w:r w:rsidRPr="00B207AC">
              <w:rPr>
                <w:sz w:val="17"/>
                <w:szCs w:val="17"/>
              </w:rPr>
              <w:t>13.8</w:t>
            </w:r>
          </w:p>
        </w:tc>
        <w:tc>
          <w:tcPr>
            <w:tcW w:w="507" w:type="pct"/>
            <w:tcBorders>
              <w:top w:val="single" w:sz="4" w:space="0" w:color="auto"/>
              <w:left w:val="single" w:sz="4" w:space="0" w:color="auto"/>
              <w:bottom w:val="single" w:sz="4" w:space="0" w:color="auto"/>
              <w:right w:val="single" w:sz="4" w:space="0" w:color="auto"/>
            </w:tcBorders>
            <w:shd w:val="clear" w:color="auto" w:fill="auto"/>
          </w:tcPr>
          <w:p w:rsidR="00B207AC" w:rsidRPr="00B207AC" w:rsidRDefault="00B207AC" w:rsidP="00B207AC">
            <w:pPr>
              <w:pStyle w:val="TableText"/>
              <w:rPr>
                <w:sz w:val="17"/>
                <w:szCs w:val="17"/>
              </w:rPr>
            </w:pPr>
            <w:r w:rsidRPr="00B207AC">
              <w:rPr>
                <w:sz w:val="17"/>
                <w:szCs w:val="17"/>
              </w:rPr>
              <w:t>-</w:t>
            </w:r>
          </w:p>
        </w:tc>
        <w:tc>
          <w:tcPr>
            <w:tcW w:w="507" w:type="pct"/>
            <w:tcBorders>
              <w:top w:val="single" w:sz="4" w:space="0" w:color="auto"/>
              <w:left w:val="single" w:sz="4" w:space="0" w:color="auto"/>
              <w:bottom w:val="single" w:sz="4" w:space="0" w:color="auto"/>
              <w:right w:val="single" w:sz="4" w:space="0" w:color="auto"/>
            </w:tcBorders>
          </w:tcPr>
          <w:p w:rsidR="00B207AC" w:rsidRPr="00B207AC" w:rsidRDefault="00B207AC" w:rsidP="00B207AC">
            <w:pPr>
              <w:pStyle w:val="TableText"/>
              <w:rPr>
                <w:sz w:val="17"/>
                <w:szCs w:val="17"/>
              </w:rPr>
            </w:pPr>
            <w:r w:rsidRPr="00B207AC">
              <w:rPr>
                <w:sz w:val="17"/>
                <w:szCs w:val="17"/>
              </w:rPr>
              <w:t>-</w:t>
            </w:r>
          </w:p>
        </w:tc>
        <w:tc>
          <w:tcPr>
            <w:tcW w:w="507" w:type="pct"/>
            <w:tcBorders>
              <w:top w:val="single" w:sz="4" w:space="0" w:color="auto"/>
              <w:left w:val="single" w:sz="4" w:space="0" w:color="auto"/>
              <w:bottom w:val="single" w:sz="4" w:space="0" w:color="auto"/>
              <w:right w:val="single" w:sz="4" w:space="0" w:color="auto"/>
            </w:tcBorders>
          </w:tcPr>
          <w:p w:rsidR="00B207AC" w:rsidRPr="00B207AC" w:rsidRDefault="00B207AC" w:rsidP="00B207AC">
            <w:pPr>
              <w:pStyle w:val="TableText"/>
              <w:rPr>
                <w:sz w:val="17"/>
                <w:szCs w:val="17"/>
              </w:rPr>
            </w:pPr>
            <w:r w:rsidRPr="00B207AC">
              <w:rPr>
                <w:sz w:val="17"/>
                <w:szCs w:val="17"/>
              </w:rPr>
              <w:t>-</w:t>
            </w:r>
          </w:p>
        </w:tc>
        <w:tc>
          <w:tcPr>
            <w:tcW w:w="507" w:type="pct"/>
            <w:tcBorders>
              <w:top w:val="single" w:sz="4" w:space="0" w:color="auto"/>
              <w:left w:val="single" w:sz="4" w:space="0" w:color="auto"/>
              <w:bottom w:val="single" w:sz="4" w:space="0" w:color="auto"/>
              <w:right w:val="single" w:sz="4" w:space="0" w:color="auto"/>
            </w:tcBorders>
            <w:shd w:val="clear" w:color="auto" w:fill="auto"/>
          </w:tcPr>
          <w:p w:rsidR="00B207AC" w:rsidRPr="00B207AC" w:rsidRDefault="00B207AC" w:rsidP="00B207AC">
            <w:pPr>
              <w:pStyle w:val="TableText"/>
              <w:rPr>
                <w:sz w:val="17"/>
                <w:szCs w:val="17"/>
              </w:rPr>
            </w:pPr>
            <w:r w:rsidRPr="00B207AC">
              <w:rPr>
                <w:sz w:val="17"/>
                <w:szCs w:val="17"/>
              </w:rPr>
              <w:t>-</w:t>
            </w:r>
          </w:p>
        </w:tc>
      </w:tr>
      <w:tr w:rsidR="00B207AC" w:rsidRPr="00B207AC" w:rsidTr="00B207AC">
        <w:tc>
          <w:tcPr>
            <w:tcW w:w="942" w:type="pct"/>
            <w:tcBorders>
              <w:top w:val="single" w:sz="4" w:space="0" w:color="auto"/>
            </w:tcBorders>
            <w:shd w:val="clear" w:color="auto" w:fill="auto"/>
          </w:tcPr>
          <w:p w:rsidR="00B207AC" w:rsidRPr="00B207AC" w:rsidRDefault="00B207AC" w:rsidP="00B207AC">
            <w:pPr>
              <w:pStyle w:val="TableText"/>
              <w:rPr>
                <w:sz w:val="17"/>
                <w:szCs w:val="17"/>
              </w:rPr>
            </w:pPr>
            <w:r w:rsidRPr="00B207AC">
              <w:rPr>
                <w:sz w:val="17"/>
                <w:szCs w:val="17"/>
              </w:rPr>
              <w:t>Independent YA</w:t>
            </w:r>
          </w:p>
        </w:tc>
        <w:tc>
          <w:tcPr>
            <w:tcW w:w="507" w:type="pct"/>
            <w:tcBorders>
              <w:top w:val="single" w:sz="4" w:space="0" w:color="auto"/>
            </w:tcBorders>
            <w:shd w:val="clear" w:color="auto" w:fill="auto"/>
          </w:tcPr>
          <w:p w:rsidR="00B207AC" w:rsidRPr="00B207AC" w:rsidRDefault="00B207AC" w:rsidP="00B207AC">
            <w:pPr>
              <w:pStyle w:val="TableText"/>
              <w:rPr>
                <w:sz w:val="17"/>
                <w:szCs w:val="17"/>
              </w:rPr>
            </w:pPr>
            <w:r w:rsidRPr="00B207AC">
              <w:rPr>
                <w:sz w:val="17"/>
                <w:szCs w:val="17"/>
              </w:rPr>
              <w:t>89</w:t>
            </w:r>
          </w:p>
        </w:tc>
        <w:tc>
          <w:tcPr>
            <w:tcW w:w="507" w:type="pct"/>
            <w:tcBorders>
              <w:top w:val="single" w:sz="4" w:space="0" w:color="auto"/>
            </w:tcBorders>
          </w:tcPr>
          <w:p w:rsidR="00B207AC" w:rsidRPr="00B207AC" w:rsidRDefault="00B207AC" w:rsidP="00B207AC">
            <w:pPr>
              <w:pStyle w:val="TableText"/>
              <w:rPr>
                <w:sz w:val="17"/>
                <w:szCs w:val="17"/>
              </w:rPr>
            </w:pPr>
            <w:r w:rsidRPr="00B207AC">
              <w:rPr>
                <w:sz w:val="17"/>
                <w:szCs w:val="17"/>
              </w:rPr>
              <w:t>36.2</w:t>
            </w:r>
          </w:p>
        </w:tc>
        <w:tc>
          <w:tcPr>
            <w:tcW w:w="507" w:type="pct"/>
            <w:tcBorders>
              <w:top w:val="single" w:sz="4" w:space="0" w:color="auto"/>
            </w:tcBorders>
            <w:shd w:val="clear" w:color="auto" w:fill="auto"/>
          </w:tcPr>
          <w:p w:rsidR="00B207AC" w:rsidRPr="00B207AC" w:rsidRDefault="00B207AC" w:rsidP="00B207AC">
            <w:pPr>
              <w:pStyle w:val="TableText"/>
              <w:rPr>
                <w:sz w:val="17"/>
                <w:szCs w:val="17"/>
              </w:rPr>
            </w:pPr>
            <w:r w:rsidRPr="00B207AC">
              <w:rPr>
                <w:sz w:val="17"/>
                <w:szCs w:val="17"/>
              </w:rPr>
              <w:t>10</w:t>
            </w:r>
          </w:p>
        </w:tc>
        <w:tc>
          <w:tcPr>
            <w:tcW w:w="507" w:type="pct"/>
            <w:tcBorders>
              <w:top w:val="single" w:sz="4" w:space="0" w:color="auto"/>
            </w:tcBorders>
          </w:tcPr>
          <w:p w:rsidR="00B207AC" w:rsidRPr="00B207AC" w:rsidRDefault="00B207AC" w:rsidP="00B207AC">
            <w:pPr>
              <w:pStyle w:val="TableText"/>
              <w:rPr>
                <w:sz w:val="17"/>
                <w:szCs w:val="17"/>
              </w:rPr>
            </w:pPr>
            <w:r w:rsidRPr="00B207AC">
              <w:rPr>
                <w:sz w:val="17"/>
                <w:szCs w:val="17"/>
              </w:rPr>
              <w:t>15.3</w:t>
            </w:r>
          </w:p>
        </w:tc>
        <w:tc>
          <w:tcPr>
            <w:tcW w:w="507" w:type="pct"/>
            <w:tcBorders>
              <w:top w:val="single" w:sz="4" w:space="0" w:color="auto"/>
            </w:tcBorders>
            <w:shd w:val="clear" w:color="auto" w:fill="auto"/>
          </w:tcPr>
          <w:p w:rsidR="00B207AC" w:rsidRPr="00B207AC" w:rsidRDefault="00B207AC" w:rsidP="00B207AC">
            <w:pPr>
              <w:pStyle w:val="TableText"/>
              <w:rPr>
                <w:sz w:val="17"/>
                <w:szCs w:val="17"/>
              </w:rPr>
            </w:pPr>
            <w:r w:rsidRPr="00B207AC">
              <w:rPr>
                <w:sz w:val="17"/>
                <w:szCs w:val="17"/>
              </w:rPr>
              <w:t>-</w:t>
            </w:r>
          </w:p>
        </w:tc>
        <w:tc>
          <w:tcPr>
            <w:tcW w:w="507" w:type="pct"/>
            <w:tcBorders>
              <w:top w:val="single" w:sz="4" w:space="0" w:color="auto"/>
            </w:tcBorders>
          </w:tcPr>
          <w:p w:rsidR="00B207AC" w:rsidRPr="00B207AC" w:rsidRDefault="00B207AC" w:rsidP="00B207AC">
            <w:pPr>
              <w:pStyle w:val="TableText"/>
              <w:rPr>
                <w:sz w:val="17"/>
                <w:szCs w:val="17"/>
              </w:rPr>
            </w:pPr>
            <w:r w:rsidRPr="00B207AC">
              <w:rPr>
                <w:sz w:val="17"/>
                <w:szCs w:val="17"/>
              </w:rPr>
              <w:t>-</w:t>
            </w:r>
          </w:p>
        </w:tc>
        <w:tc>
          <w:tcPr>
            <w:tcW w:w="507" w:type="pct"/>
            <w:tcBorders>
              <w:top w:val="single" w:sz="4" w:space="0" w:color="auto"/>
            </w:tcBorders>
          </w:tcPr>
          <w:p w:rsidR="00B207AC" w:rsidRPr="00B207AC" w:rsidRDefault="00B207AC" w:rsidP="00B207AC">
            <w:pPr>
              <w:pStyle w:val="TableText"/>
              <w:rPr>
                <w:sz w:val="17"/>
                <w:szCs w:val="17"/>
              </w:rPr>
            </w:pPr>
            <w:r w:rsidRPr="00B207AC">
              <w:rPr>
                <w:sz w:val="17"/>
                <w:szCs w:val="17"/>
              </w:rPr>
              <w:t>-</w:t>
            </w:r>
          </w:p>
        </w:tc>
        <w:tc>
          <w:tcPr>
            <w:tcW w:w="507" w:type="pct"/>
            <w:tcBorders>
              <w:top w:val="single" w:sz="4" w:space="0" w:color="auto"/>
            </w:tcBorders>
            <w:shd w:val="clear" w:color="auto" w:fill="auto"/>
          </w:tcPr>
          <w:p w:rsidR="00B207AC" w:rsidRPr="00B207AC" w:rsidRDefault="00B207AC" w:rsidP="00B207AC">
            <w:pPr>
              <w:pStyle w:val="TableText"/>
              <w:rPr>
                <w:sz w:val="17"/>
                <w:szCs w:val="17"/>
              </w:rPr>
            </w:pPr>
            <w:r w:rsidRPr="00B207AC">
              <w:rPr>
                <w:sz w:val="17"/>
                <w:szCs w:val="17"/>
              </w:rPr>
              <w:t>-</w:t>
            </w:r>
          </w:p>
        </w:tc>
      </w:tr>
      <w:tr w:rsidR="00B207AC" w:rsidRPr="00B207AC" w:rsidTr="00B207AC">
        <w:tc>
          <w:tcPr>
            <w:tcW w:w="942" w:type="pct"/>
            <w:tcBorders>
              <w:bottom w:val="single" w:sz="4" w:space="0" w:color="auto"/>
            </w:tcBorders>
            <w:shd w:val="clear" w:color="auto" w:fill="auto"/>
          </w:tcPr>
          <w:p w:rsidR="00B207AC" w:rsidRPr="00B207AC" w:rsidRDefault="00B207AC" w:rsidP="00B207AC">
            <w:pPr>
              <w:pStyle w:val="TableText"/>
              <w:rPr>
                <w:sz w:val="17"/>
                <w:szCs w:val="17"/>
              </w:rPr>
            </w:pPr>
            <w:r w:rsidRPr="00B207AC">
              <w:rPr>
                <w:sz w:val="17"/>
                <w:szCs w:val="17"/>
              </w:rPr>
              <w:t>Austudy</w:t>
            </w:r>
          </w:p>
        </w:tc>
        <w:tc>
          <w:tcPr>
            <w:tcW w:w="507" w:type="pct"/>
            <w:tcBorders>
              <w:bottom w:val="single" w:sz="4" w:space="0" w:color="auto"/>
            </w:tcBorders>
            <w:shd w:val="clear" w:color="auto" w:fill="auto"/>
          </w:tcPr>
          <w:p w:rsidR="00B207AC" w:rsidRPr="00B207AC" w:rsidRDefault="00B207AC" w:rsidP="00B207AC">
            <w:pPr>
              <w:pStyle w:val="TableText"/>
              <w:rPr>
                <w:sz w:val="17"/>
                <w:szCs w:val="17"/>
              </w:rPr>
            </w:pPr>
            <w:r w:rsidRPr="00B207AC">
              <w:rPr>
                <w:sz w:val="17"/>
                <w:szCs w:val="17"/>
              </w:rPr>
              <w:t>-</w:t>
            </w:r>
          </w:p>
        </w:tc>
        <w:tc>
          <w:tcPr>
            <w:tcW w:w="507" w:type="pct"/>
            <w:tcBorders>
              <w:bottom w:val="single" w:sz="4" w:space="0" w:color="auto"/>
            </w:tcBorders>
          </w:tcPr>
          <w:p w:rsidR="00B207AC" w:rsidRPr="00B207AC" w:rsidRDefault="00B207AC" w:rsidP="00B207AC">
            <w:pPr>
              <w:pStyle w:val="TableText"/>
              <w:rPr>
                <w:sz w:val="17"/>
                <w:szCs w:val="17"/>
              </w:rPr>
            </w:pPr>
            <w:r w:rsidRPr="00B207AC">
              <w:rPr>
                <w:sz w:val="17"/>
                <w:szCs w:val="17"/>
              </w:rPr>
              <w:t>-</w:t>
            </w:r>
          </w:p>
        </w:tc>
        <w:tc>
          <w:tcPr>
            <w:tcW w:w="507" w:type="pct"/>
            <w:tcBorders>
              <w:bottom w:val="single" w:sz="4" w:space="0" w:color="auto"/>
            </w:tcBorders>
            <w:shd w:val="clear" w:color="auto" w:fill="auto"/>
          </w:tcPr>
          <w:p w:rsidR="00B207AC" w:rsidRPr="00B207AC" w:rsidRDefault="00B207AC" w:rsidP="00B207AC">
            <w:pPr>
              <w:pStyle w:val="TableText"/>
              <w:rPr>
                <w:sz w:val="17"/>
                <w:szCs w:val="17"/>
              </w:rPr>
            </w:pPr>
            <w:r w:rsidRPr="00B207AC">
              <w:rPr>
                <w:sz w:val="17"/>
                <w:szCs w:val="17"/>
              </w:rPr>
              <w:t>-</w:t>
            </w:r>
          </w:p>
        </w:tc>
        <w:tc>
          <w:tcPr>
            <w:tcW w:w="507" w:type="pct"/>
            <w:tcBorders>
              <w:bottom w:val="single" w:sz="4" w:space="0" w:color="auto"/>
            </w:tcBorders>
          </w:tcPr>
          <w:p w:rsidR="00B207AC" w:rsidRPr="00B207AC" w:rsidRDefault="00B207AC" w:rsidP="00B207AC">
            <w:pPr>
              <w:pStyle w:val="TableText"/>
              <w:rPr>
                <w:sz w:val="17"/>
                <w:szCs w:val="17"/>
              </w:rPr>
            </w:pPr>
            <w:r w:rsidRPr="00B207AC">
              <w:rPr>
                <w:sz w:val="17"/>
                <w:szCs w:val="17"/>
              </w:rPr>
              <w:t>-</w:t>
            </w:r>
          </w:p>
        </w:tc>
        <w:tc>
          <w:tcPr>
            <w:tcW w:w="507" w:type="pct"/>
            <w:tcBorders>
              <w:bottom w:val="single" w:sz="4" w:space="0" w:color="auto"/>
            </w:tcBorders>
            <w:shd w:val="clear" w:color="auto" w:fill="auto"/>
          </w:tcPr>
          <w:p w:rsidR="00B207AC" w:rsidRPr="00B207AC" w:rsidRDefault="00B207AC" w:rsidP="00B207AC">
            <w:pPr>
              <w:pStyle w:val="TableText"/>
              <w:rPr>
                <w:sz w:val="17"/>
                <w:szCs w:val="17"/>
              </w:rPr>
            </w:pPr>
            <w:r w:rsidRPr="00B207AC">
              <w:rPr>
                <w:sz w:val="17"/>
                <w:szCs w:val="17"/>
              </w:rPr>
              <w:t>7</w:t>
            </w:r>
          </w:p>
        </w:tc>
        <w:tc>
          <w:tcPr>
            <w:tcW w:w="507" w:type="pct"/>
            <w:tcBorders>
              <w:bottom w:val="single" w:sz="4" w:space="0" w:color="auto"/>
            </w:tcBorders>
          </w:tcPr>
          <w:p w:rsidR="00B207AC" w:rsidRPr="00B207AC" w:rsidRDefault="00B207AC" w:rsidP="00B207AC">
            <w:pPr>
              <w:pStyle w:val="TableText"/>
              <w:rPr>
                <w:sz w:val="17"/>
                <w:szCs w:val="17"/>
              </w:rPr>
            </w:pPr>
            <w:r w:rsidRPr="00B207AC">
              <w:rPr>
                <w:sz w:val="17"/>
                <w:szCs w:val="17"/>
              </w:rPr>
              <w:t>25.9</w:t>
            </w:r>
          </w:p>
        </w:tc>
        <w:tc>
          <w:tcPr>
            <w:tcW w:w="507" w:type="pct"/>
            <w:tcBorders>
              <w:bottom w:val="single" w:sz="4" w:space="0" w:color="auto"/>
            </w:tcBorders>
          </w:tcPr>
          <w:p w:rsidR="00B207AC" w:rsidRPr="00B207AC" w:rsidRDefault="00B207AC" w:rsidP="00B207AC">
            <w:pPr>
              <w:pStyle w:val="TableText"/>
              <w:rPr>
                <w:sz w:val="17"/>
                <w:szCs w:val="17"/>
              </w:rPr>
            </w:pPr>
            <w:r w:rsidRPr="00B207AC">
              <w:rPr>
                <w:sz w:val="17"/>
                <w:szCs w:val="17"/>
              </w:rPr>
              <w:t>17</w:t>
            </w:r>
          </w:p>
        </w:tc>
        <w:tc>
          <w:tcPr>
            <w:tcW w:w="507" w:type="pct"/>
            <w:tcBorders>
              <w:bottom w:val="single" w:sz="4" w:space="0" w:color="auto"/>
            </w:tcBorders>
            <w:shd w:val="clear" w:color="auto" w:fill="auto"/>
          </w:tcPr>
          <w:p w:rsidR="00B207AC" w:rsidRPr="00B207AC" w:rsidRDefault="00B207AC" w:rsidP="00B207AC">
            <w:pPr>
              <w:pStyle w:val="TableText"/>
              <w:rPr>
                <w:sz w:val="17"/>
                <w:szCs w:val="17"/>
              </w:rPr>
            </w:pPr>
            <w:r w:rsidRPr="00B207AC">
              <w:rPr>
                <w:sz w:val="17"/>
                <w:szCs w:val="17"/>
              </w:rPr>
              <w:t>8.3</w:t>
            </w:r>
          </w:p>
        </w:tc>
      </w:tr>
      <w:tr w:rsidR="00B207AC" w:rsidRPr="00B207AC" w:rsidTr="00B207AC">
        <w:tc>
          <w:tcPr>
            <w:tcW w:w="942" w:type="pct"/>
            <w:tcBorders>
              <w:top w:val="single" w:sz="4" w:space="0" w:color="auto"/>
              <w:left w:val="single" w:sz="4" w:space="0" w:color="auto"/>
              <w:bottom w:val="single" w:sz="4" w:space="0" w:color="auto"/>
              <w:right w:val="single" w:sz="4" w:space="0" w:color="auto"/>
            </w:tcBorders>
            <w:shd w:val="clear" w:color="auto" w:fill="auto"/>
          </w:tcPr>
          <w:p w:rsidR="00B207AC" w:rsidRPr="00B207AC" w:rsidRDefault="00B207AC" w:rsidP="00B207AC">
            <w:pPr>
              <w:pStyle w:val="TableText"/>
              <w:rPr>
                <w:sz w:val="17"/>
                <w:szCs w:val="17"/>
              </w:rPr>
            </w:pPr>
            <w:r w:rsidRPr="00B207AC">
              <w:rPr>
                <w:sz w:val="17"/>
                <w:szCs w:val="17"/>
              </w:rPr>
              <w:t>Abstudy</w:t>
            </w:r>
          </w:p>
        </w:tc>
        <w:tc>
          <w:tcPr>
            <w:tcW w:w="507" w:type="pct"/>
            <w:tcBorders>
              <w:top w:val="single" w:sz="4" w:space="0" w:color="auto"/>
              <w:left w:val="single" w:sz="4" w:space="0" w:color="auto"/>
              <w:bottom w:val="single" w:sz="4" w:space="0" w:color="auto"/>
              <w:right w:val="single" w:sz="4" w:space="0" w:color="auto"/>
            </w:tcBorders>
            <w:shd w:val="clear" w:color="auto" w:fill="auto"/>
          </w:tcPr>
          <w:p w:rsidR="00B207AC" w:rsidRPr="00B207AC" w:rsidRDefault="00B207AC" w:rsidP="00B207AC">
            <w:pPr>
              <w:pStyle w:val="TableText"/>
              <w:rPr>
                <w:sz w:val="17"/>
                <w:szCs w:val="17"/>
              </w:rPr>
            </w:pPr>
            <w:r w:rsidRPr="00B207AC">
              <w:rPr>
                <w:sz w:val="17"/>
                <w:szCs w:val="17"/>
              </w:rPr>
              <w:t>-</w:t>
            </w:r>
          </w:p>
        </w:tc>
        <w:tc>
          <w:tcPr>
            <w:tcW w:w="507" w:type="pct"/>
            <w:tcBorders>
              <w:top w:val="single" w:sz="4" w:space="0" w:color="auto"/>
              <w:left w:val="single" w:sz="4" w:space="0" w:color="auto"/>
              <w:bottom w:val="single" w:sz="4" w:space="0" w:color="auto"/>
              <w:right w:val="single" w:sz="4" w:space="0" w:color="auto"/>
            </w:tcBorders>
          </w:tcPr>
          <w:p w:rsidR="00B207AC" w:rsidRPr="00B207AC" w:rsidRDefault="00B207AC" w:rsidP="00B207AC">
            <w:pPr>
              <w:pStyle w:val="TableText"/>
              <w:rPr>
                <w:sz w:val="17"/>
                <w:szCs w:val="17"/>
              </w:rPr>
            </w:pPr>
            <w:r w:rsidRPr="00B207AC">
              <w:rPr>
                <w:sz w:val="17"/>
                <w:szCs w:val="17"/>
              </w:rPr>
              <w:t>-</w:t>
            </w:r>
          </w:p>
        </w:tc>
        <w:tc>
          <w:tcPr>
            <w:tcW w:w="507" w:type="pct"/>
            <w:tcBorders>
              <w:top w:val="single" w:sz="4" w:space="0" w:color="auto"/>
              <w:left w:val="single" w:sz="4" w:space="0" w:color="auto"/>
              <w:bottom w:val="single" w:sz="4" w:space="0" w:color="auto"/>
              <w:right w:val="single" w:sz="4" w:space="0" w:color="auto"/>
            </w:tcBorders>
            <w:shd w:val="clear" w:color="auto" w:fill="auto"/>
          </w:tcPr>
          <w:p w:rsidR="00B207AC" w:rsidRPr="00B207AC" w:rsidRDefault="00B207AC" w:rsidP="00B207AC">
            <w:pPr>
              <w:pStyle w:val="TableText"/>
              <w:rPr>
                <w:sz w:val="17"/>
                <w:szCs w:val="17"/>
              </w:rPr>
            </w:pPr>
            <w:r w:rsidRPr="00B207AC">
              <w:rPr>
                <w:sz w:val="17"/>
                <w:szCs w:val="17"/>
              </w:rPr>
              <w:t>-</w:t>
            </w:r>
          </w:p>
        </w:tc>
        <w:tc>
          <w:tcPr>
            <w:tcW w:w="507" w:type="pct"/>
            <w:tcBorders>
              <w:top w:val="single" w:sz="4" w:space="0" w:color="auto"/>
              <w:left w:val="single" w:sz="4" w:space="0" w:color="auto"/>
              <w:bottom w:val="single" w:sz="4" w:space="0" w:color="auto"/>
              <w:right w:val="single" w:sz="4" w:space="0" w:color="auto"/>
            </w:tcBorders>
          </w:tcPr>
          <w:p w:rsidR="00B207AC" w:rsidRPr="00B207AC" w:rsidRDefault="00B207AC" w:rsidP="00B207AC">
            <w:pPr>
              <w:pStyle w:val="TableText"/>
              <w:rPr>
                <w:sz w:val="17"/>
                <w:szCs w:val="17"/>
              </w:rPr>
            </w:pPr>
            <w:r w:rsidRPr="00B207AC">
              <w:rPr>
                <w:sz w:val="17"/>
                <w:szCs w:val="17"/>
              </w:rPr>
              <w:t>-</w:t>
            </w:r>
          </w:p>
        </w:tc>
        <w:tc>
          <w:tcPr>
            <w:tcW w:w="507" w:type="pct"/>
            <w:tcBorders>
              <w:top w:val="single" w:sz="4" w:space="0" w:color="auto"/>
              <w:left w:val="single" w:sz="4" w:space="0" w:color="auto"/>
              <w:bottom w:val="single" w:sz="4" w:space="0" w:color="auto"/>
              <w:right w:val="single" w:sz="4" w:space="0" w:color="auto"/>
            </w:tcBorders>
            <w:shd w:val="clear" w:color="auto" w:fill="auto"/>
          </w:tcPr>
          <w:p w:rsidR="00B207AC" w:rsidRPr="00B207AC" w:rsidRDefault="00B207AC" w:rsidP="00B207AC">
            <w:pPr>
              <w:pStyle w:val="TableText"/>
              <w:rPr>
                <w:sz w:val="17"/>
                <w:szCs w:val="17"/>
              </w:rPr>
            </w:pPr>
            <w:r w:rsidRPr="00B207AC">
              <w:rPr>
                <w:sz w:val="17"/>
                <w:szCs w:val="17"/>
              </w:rPr>
              <w:t>-</w:t>
            </w:r>
          </w:p>
        </w:tc>
        <w:tc>
          <w:tcPr>
            <w:tcW w:w="507" w:type="pct"/>
            <w:tcBorders>
              <w:top w:val="single" w:sz="4" w:space="0" w:color="auto"/>
              <w:left w:val="single" w:sz="4" w:space="0" w:color="auto"/>
              <w:bottom w:val="single" w:sz="4" w:space="0" w:color="auto"/>
              <w:right w:val="single" w:sz="4" w:space="0" w:color="auto"/>
            </w:tcBorders>
          </w:tcPr>
          <w:p w:rsidR="00B207AC" w:rsidRPr="00B207AC" w:rsidRDefault="00B207AC" w:rsidP="00B207AC">
            <w:pPr>
              <w:pStyle w:val="TableText"/>
              <w:rPr>
                <w:sz w:val="17"/>
                <w:szCs w:val="17"/>
              </w:rPr>
            </w:pPr>
            <w:r w:rsidRPr="00B207AC">
              <w:rPr>
                <w:sz w:val="17"/>
                <w:szCs w:val="17"/>
              </w:rPr>
              <w:t>-</w:t>
            </w:r>
          </w:p>
        </w:tc>
        <w:tc>
          <w:tcPr>
            <w:tcW w:w="507" w:type="pct"/>
            <w:tcBorders>
              <w:top w:val="single" w:sz="4" w:space="0" w:color="auto"/>
              <w:left w:val="single" w:sz="4" w:space="0" w:color="auto"/>
              <w:bottom w:val="single" w:sz="4" w:space="0" w:color="auto"/>
              <w:right w:val="single" w:sz="4" w:space="0" w:color="auto"/>
            </w:tcBorders>
          </w:tcPr>
          <w:p w:rsidR="00B207AC" w:rsidRPr="00B207AC" w:rsidRDefault="00B207AC" w:rsidP="00B207AC">
            <w:pPr>
              <w:pStyle w:val="TableText"/>
              <w:rPr>
                <w:sz w:val="17"/>
                <w:szCs w:val="17"/>
              </w:rPr>
            </w:pPr>
            <w:r w:rsidRPr="00B207AC">
              <w:rPr>
                <w:sz w:val="17"/>
                <w:szCs w:val="17"/>
              </w:rPr>
              <w:t>1</w:t>
            </w:r>
          </w:p>
        </w:tc>
        <w:tc>
          <w:tcPr>
            <w:tcW w:w="507" w:type="pct"/>
            <w:tcBorders>
              <w:top w:val="single" w:sz="4" w:space="0" w:color="auto"/>
              <w:left w:val="single" w:sz="4" w:space="0" w:color="auto"/>
              <w:bottom w:val="single" w:sz="4" w:space="0" w:color="auto"/>
              <w:right w:val="single" w:sz="4" w:space="0" w:color="auto"/>
            </w:tcBorders>
            <w:shd w:val="clear" w:color="auto" w:fill="auto"/>
          </w:tcPr>
          <w:p w:rsidR="00B207AC" w:rsidRPr="00B207AC" w:rsidRDefault="00B207AC" w:rsidP="00B207AC">
            <w:pPr>
              <w:pStyle w:val="TableText"/>
              <w:rPr>
                <w:sz w:val="17"/>
                <w:szCs w:val="17"/>
              </w:rPr>
            </w:pPr>
            <w:r w:rsidRPr="00B207AC">
              <w:rPr>
                <w:sz w:val="17"/>
                <w:szCs w:val="17"/>
              </w:rPr>
              <w:t>100</w:t>
            </w:r>
          </w:p>
        </w:tc>
      </w:tr>
      <w:tr w:rsidR="00B207AC" w:rsidRPr="00B207AC" w:rsidTr="00B207AC">
        <w:tc>
          <w:tcPr>
            <w:tcW w:w="942" w:type="pct"/>
            <w:tcBorders>
              <w:top w:val="single" w:sz="4" w:space="0" w:color="auto"/>
            </w:tcBorders>
            <w:shd w:val="clear" w:color="auto" w:fill="auto"/>
          </w:tcPr>
          <w:p w:rsidR="00B207AC" w:rsidRPr="00B207AC" w:rsidRDefault="00B207AC" w:rsidP="00B207AC">
            <w:pPr>
              <w:pStyle w:val="TableText"/>
              <w:rPr>
                <w:sz w:val="17"/>
                <w:szCs w:val="17"/>
              </w:rPr>
            </w:pPr>
            <w:r w:rsidRPr="00B207AC">
              <w:rPr>
                <w:sz w:val="17"/>
                <w:szCs w:val="17"/>
              </w:rPr>
              <w:t>Newstart Allowance</w:t>
            </w:r>
          </w:p>
        </w:tc>
        <w:tc>
          <w:tcPr>
            <w:tcW w:w="507" w:type="pct"/>
            <w:tcBorders>
              <w:top w:val="single" w:sz="4" w:space="0" w:color="auto"/>
            </w:tcBorders>
            <w:shd w:val="clear" w:color="auto" w:fill="auto"/>
          </w:tcPr>
          <w:p w:rsidR="00B207AC" w:rsidRPr="00B207AC" w:rsidRDefault="00B207AC" w:rsidP="00B207AC">
            <w:pPr>
              <w:pStyle w:val="TableText"/>
              <w:rPr>
                <w:sz w:val="17"/>
                <w:szCs w:val="17"/>
              </w:rPr>
            </w:pPr>
            <w:r w:rsidRPr="00B207AC">
              <w:rPr>
                <w:sz w:val="17"/>
                <w:szCs w:val="17"/>
              </w:rPr>
              <w:t>7</w:t>
            </w:r>
          </w:p>
        </w:tc>
        <w:tc>
          <w:tcPr>
            <w:tcW w:w="507" w:type="pct"/>
            <w:tcBorders>
              <w:top w:val="single" w:sz="4" w:space="0" w:color="auto"/>
            </w:tcBorders>
          </w:tcPr>
          <w:p w:rsidR="00B207AC" w:rsidRPr="00B207AC" w:rsidRDefault="00B207AC" w:rsidP="00B207AC">
            <w:pPr>
              <w:pStyle w:val="TableText"/>
              <w:rPr>
                <w:sz w:val="17"/>
                <w:szCs w:val="17"/>
              </w:rPr>
            </w:pPr>
            <w:r w:rsidRPr="00B207AC">
              <w:rPr>
                <w:sz w:val="17"/>
                <w:szCs w:val="17"/>
              </w:rPr>
              <w:t>2.8</w:t>
            </w:r>
          </w:p>
        </w:tc>
        <w:tc>
          <w:tcPr>
            <w:tcW w:w="507" w:type="pct"/>
            <w:tcBorders>
              <w:top w:val="single" w:sz="4" w:space="0" w:color="auto"/>
            </w:tcBorders>
            <w:shd w:val="clear" w:color="auto" w:fill="auto"/>
          </w:tcPr>
          <w:p w:rsidR="00B207AC" w:rsidRPr="00B207AC" w:rsidRDefault="00B207AC" w:rsidP="00B207AC">
            <w:pPr>
              <w:pStyle w:val="TableText"/>
              <w:rPr>
                <w:sz w:val="17"/>
                <w:szCs w:val="17"/>
              </w:rPr>
            </w:pPr>
            <w:r w:rsidRPr="00B207AC">
              <w:rPr>
                <w:sz w:val="17"/>
                <w:szCs w:val="17"/>
              </w:rPr>
              <w:t>-</w:t>
            </w:r>
          </w:p>
        </w:tc>
        <w:tc>
          <w:tcPr>
            <w:tcW w:w="507" w:type="pct"/>
            <w:tcBorders>
              <w:top w:val="single" w:sz="4" w:space="0" w:color="auto"/>
            </w:tcBorders>
          </w:tcPr>
          <w:p w:rsidR="00B207AC" w:rsidRPr="00B207AC" w:rsidRDefault="00B207AC" w:rsidP="00B207AC">
            <w:pPr>
              <w:pStyle w:val="TableText"/>
              <w:rPr>
                <w:sz w:val="17"/>
                <w:szCs w:val="17"/>
              </w:rPr>
            </w:pPr>
            <w:r w:rsidRPr="00B207AC">
              <w:rPr>
                <w:sz w:val="17"/>
                <w:szCs w:val="17"/>
              </w:rPr>
              <w:t>-</w:t>
            </w:r>
          </w:p>
        </w:tc>
        <w:tc>
          <w:tcPr>
            <w:tcW w:w="507" w:type="pct"/>
            <w:tcBorders>
              <w:top w:val="single" w:sz="4" w:space="0" w:color="auto"/>
            </w:tcBorders>
            <w:shd w:val="clear" w:color="auto" w:fill="auto"/>
          </w:tcPr>
          <w:p w:rsidR="00B207AC" w:rsidRPr="00B207AC" w:rsidRDefault="00B207AC" w:rsidP="00B207AC">
            <w:pPr>
              <w:pStyle w:val="TableText"/>
              <w:rPr>
                <w:sz w:val="17"/>
                <w:szCs w:val="17"/>
              </w:rPr>
            </w:pPr>
            <w:r w:rsidRPr="00B207AC">
              <w:rPr>
                <w:sz w:val="17"/>
                <w:szCs w:val="17"/>
              </w:rPr>
              <w:t>-</w:t>
            </w:r>
          </w:p>
        </w:tc>
        <w:tc>
          <w:tcPr>
            <w:tcW w:w="507" w:type="pct"/>
            <w:tcBorders>
              <w:top w:val="single" w:sz="4" w:space="0" w:color="auto"/>
            </w:tcBorders>
          </w:tcPr>
          <w:p w:rsidR="00B207AC" w:rsidRPr="00B207AC" w:rsidRDefault="00B207AC" w:rsidP="00B207AC">
            <w:pPr>
              <w:pStyle w:val="TableText"/>
              <w:rPr>
                <w:sz w:val="17"/>
                <w:szCs w:val="17"/>
              </w:rPr>
            </w:pPr>
            <w:r w:rsidRPr="00B207AC">
              <w:rPr>
                <w:sz w:val="17"/>
                <w:szCs w:val="17"/>
              </w:rPr>
              <w:t>-</w:t>
            </w:r>
          </w:p>
        </w:tc>
        <w:tc>
          <w:tcPr>
            <w:tcW w:w="507" w:type="pct"/>
            <w:tcBorders>
              <w:top w:val="single" w:sz="4" w:space="0" w:color="auto"/>
            </w:tcBorders>
          </w:tcPr>
          <w:p w:rsidR="00B207AC" w:rsidRPr="00B207AC" w:rsidRDefault="00B207AC" w:rsidP="00B207AC">
            <w:pPr>
              <w:pStyle w:val="TableText"/>
              <w:rPr>
                <w:sz w:val="17"/>
                <w:szCs w:val="17"/>
              </w:rPr>
            </w:pPr>
            <w:r w:rsidRPr="00B207AC">
              <w:rPr>
                <w:sz w:val="17"/>
                <w:szCs w:val="17"/>
              </w:rPr>
              <w:t>3</w:t>
            </w:r>
          </w:p>
        </w:tc>
        <w:tc>
          <w:tcPr>
            <w:tcW w:w="507" w:type="pct"/>
            <w:tcBorders>
              <w:top w:val="single" w:sz="4" w:space="0" w:color="auto"/>
            </w:tcBorders>
            <w:shd w:val="clear" w:color="auto" w:fill="auto"/>
          </w:tcPr>
          <w:p w:rsidR="00B207AC" w:rsidRPr="00B207AC" w:rsidRDefault="00B207AC" w:rsidP="00B207AC">
            <w:pPr>
              <w:pStyle w:val="TableText"/>
              <w:rPr>
                <w:sz w:val="17"/>
                <w:szCs w:val="17"/>
              </w:rPr>
            </w:pPr>
            <w:r w:rsidRPr="00B207AC">
              <w:rPr>
                <w:sz w:val="17"/>
                <w:szCs w:val="17"/>
              </w:rPr>
              <w:t>1.4</w:t>
            </w:r>
          </w:p>
        </w:tc>
      </w:tr>
      <w:tr w:rsidR="00B207AC" w:rsidRPr="00B207AC" w:rsidTr="00B207AC">
        <w:tc>
          <w:tcPr>
            <w:tcW w:w="942" w:type="pct"/>
            <w:tcBorders>
              <w:bottom w:val="single" w:sz="4" w:space="0" w:color="auto"/>
            </w:tcBorders>
            <w:shd w:val="clear" w:color="auto" w:fill="auto"/>
          </w:tcPr>
          <w:p w:rsidR="00B207AC" w:rsidRPr="00B207AC" w:rsidRDefault="00B207AC" w:rsidP="00B207AC">
            <w:pPr>
              <w:pStyle w:val="TableText"/>
              <w:rPr>
                <w:sz w:val="17"/>
                <w:szCs w:val="17"/>
              </w:rPr>
            </w:pPr>
            <w:r w:rsidRPr="00B207AC">
              <w:rPr>
                <w:sz w:val="17"/>
                <w:szCs w:val="17"/>
              </w:rPr>
              <w:t>Family Allowance</w:t>
            </w:r>
          </w:p>
        </w:tc>
        <w:tc>
          <w:tcPr>
            <w:tcW w:w="507" w:type="pct"/>
            <w:tcBorders>
              <w:bottom w:val="single" w:sz="4" w:space="0" w:color="auto"/>
            </w:tcBorders>
            <w:shd w:val="clear" w:color="auto" w:fill="auto"/>
          </w:tcPr>
          <w:p w:rsidR="00B207AC" w:rsidRPr="00B207AC" w:rsidRDefault="00B207AC" w:rsidP="00B207AC">
            <w:pPr>
              <w:pStyle w:val="TableText"/>
              <w:rPr>
                <w:sz w:val="17"/>
                <w:szCs w:val="17"/>
              </w:rPr>
            </w:pPr>
            <w:r w:rsidRPr="00B207AC">
              <w:rPr>
                <w:sz w:val="17"/>
                <w:szCs w:val="17"/>
              </w:rPr>
              <w:t>2</w:t>
            </w:r>
          </w:p>
        </w:tc>
        <w:tc>
          <w:tcPr>
            <w:tcW w:w="507" w:type="pct"/>
            <w:tcBorders>
              <w:bottom w:val="single" w:sz="4" w:space="0" w:color="auto"/>
            </w:tcBorders>
          </w:tcPr>
          <w:p w:rsidR="00B207AC" w:rsidRPr="00B207AC" w:rsidRDefault="00B207AC" w:rsidP="00B207AC">
            <w:pPr>
              <w:pStyle w:val="TableText"/>
              <w:rPr>
                <w:sz w:val="17"/>
                <w:szCs w:val="17"/>
              </w:rPr>
            </w:pPr>
            <w:r w:rsidRPr="00B207AC">
              <w:rPr>
                <w:sz w:val="17"/>
                <w:szCs w:val="17"/>
              </w:rPr>
              <w:t>0.8</w:t>
            </w:r>
          </w:p>
        </w:tc>
        <w:tc>
          <w:tcPr>
            <w:tcW w:w="507" w:type="pct"/>
            <w:tcBorders>
              <w:bottom w:val="single" w:sz="4" w:space="0" w:color="auto"/>
            </w:tcBorders>
            <w:shd w:val="clear" w:color="auto" w:fill="auto"/>
          </w:tcPr>
          <w:p w:rsidR="00B207AC" w:rsidRPr="00B207AC" w:rsidRDefault="00B207AC" w:rsidP="00B207AC">
            <w:pPr>
              <w:pStyle w:val="TableText"/>
              <w:rPr>
                <w:sz w:val="17"/>
                <w:szCs w:val="17"/>
              </w:rPr>
            </w:pPr>
            <w:r w:rsidRPr="00B207AC">
              <w:rPr>
                <w:sz w:val="17"/>
                <w:szCs w:val="17"/>
              </w:rPr>
              <w:t>1</w:t>
            </w:r>
          </w:p>
        </w:tc>
        <w:tc>
          <w:tcPr>
            <w:tcW w:w="507" w:type="pct"/>
            <w:tcBorders>
              <w:bottom w:val="single" w:sz="4" w:space="0" w:color="auto"/>
            </w:tcBorders>
          </w:tcPr>
          <w:p w:rsidR="00B207AC" w:rsidRPr="00B207AC" w:rsidRDefault="00B207AC" w:rsidP="00B207AC">
            <w:pPr>
              <w:pStyle w:val="TableText"/>
              <w:rPr>
                <w:sz w:val="17"/>
                <w:szCs w:val="17"/>
              </w:rPr>
            </w:pPr>
            <w:r w:rsidRPr="00B207AC">
              <w:rPr>
                <w:sz w:val="17"/>
                <w:szCs w:val="17"/>
              </w:rPr>
              <w:t>1.5</w:t>
            </w:r>
          </w:p>
        </w:tc>
        <w:tc>
          <w:tcPr>
            <w:tcW w:w="507" w:type="pct"/>
            <w:tcBorders>
              <w:bottom w:val="single" w:sz="4" w:space="0" w:color="auto"/>
            </w:tcBorders>
            <w:shd w:val="clear" w:color="auto" w:fill="auto"/>
          </w:tcPr>
          <w:p w:rsidR="00B207AC" w:rsidRPr="00B207AC" w:rsidRDefault="00B207AC" w:rsidP="00B207AC">
            <w:pPr>
              <w:pStyle w:val="TableText"/>
              <w:rPr>
                <w:sz w:val="17"/>
                <w:szCs w:val="17"/>
              </w:rPr>
            </w:pPr>
            <w:r w:rsidRPr="00B207AC">
              <w:rPr>
                <w:sz w:val="17"/>
                <w:szCs w:val="17"/>
              </w:rPr>
              <w:t>1</w:t>
            </w:r>
          </w:p>
        </w:tc>
        <w:tc>
          <w:tcPr>
            <w:tcW w:w="507" w:type="pct"/>
            <w:tcBorders>
              <w:bottom w:val="single" w:sz="4" w:space="0" w:color="auto"/>
            </w:tcBorders>
          </w:tcPr>
          <w:p w:rsidR="00B207AC" w:rsidRPr="00B207AC" w:rsidRDefault="00B207AC" w:rsidP="00B207AC">
            <w:pPr>
              <w:pStyle w:val="TableText"/>
              <w:rPr>
                <w:sz w:val="17"/>
                <w:szCs w:val="17"/>
              </w:rPr>
            </w:pPr>
            <w:r w:rsidRPr="00B207AC">
              <w:rPr>
                <w:sz w:val="17"/>
                <w:szCs w:val="17"/>
              </w:rPr>
              <w:t>4</w:t>
            </w:r>
          </w:p>
        </w:tc>
        <w:tc>
          <w:tcPr>
            <w:tcW w:w="507" w:type="pct"/>
            <w:tcBorders>
              <w:bottom w:val="single" w:sz="4" w:space="0" w:color="auto"/>
            </w:tcBorders>
          </w:tcPr>
          <w:p w:rsidR="00B207AC" w:rsidRPr="00B207AC" w:rsidRDefault="00B207AC" w:rsidP="00B207AC">
            <w:pPr>
              <w:pStyle w:val="TableText"/>
              <w:rPr>
                <w:sz w:val="17"/>
                <w:szCs w:val="17"/>
              </w:rPr>
            </w:pPr>
            <w:r w:rsidRPr="00B207AC">
              <w:rPr>
                <w:sz w:val="17"/>
                <w:szCs w:val="17"/>
              </w:rPr>
              <w:t>37</w:t>
            </w:r>
          </w:p>
        </w:tc>
        <w:tc>
          <w:tcPr>
            <w:tcW w:w="507" w:type="pct"/>
            <w:tcBorders>
              <w:bottom w:val="single" w:sz="4" w:space="0" w:color="auto"/>
            </w:tcBorders>
            <w:shd w:val="clear" w:color="auto" w:fill="auto"/>
          </w:tcPr>
          <w:p w:rsidR="00B207AC" w:rsidRPr="00B207AC" w:rsidRDefault="00B207AC" w:rsidP="00B207AC">
            <w:pPr>
              <w:pStyle w:val="TableText"/>
              <w:rPr>
                <w:sz w:val="17"/>
                <w:szCs w:val="17"/>
              </w:rPr>
            </w:pPr>
            <w:r w:rsidRPr="00B207AC">
              <w:rPr>
                <w:sz w:val="17"/>
                <w:szCs w:val="17"/>
              </w:rPr>
              <w:t>18</w:t>
            </w:r>
          </w:p>
        </w:tc>
      </w:tr>
      <w:tr w:rsidR="00B207AC" w:rsidRPr="00B207AC" w:rsidTr="00B207AC">
        <w:tc>
          <w:tcPr>
            <w:tcW w:w="942" w:type="pct"/>
            <w:tcBorders>
              <w:top w:val="single" w:sz="4" w:space="0" w:color="auto"/>
              <w:left w:val="single" w:sz="4" w:space="0" w:color="auto"/>
              <w:bottom w:val="single" w:sz="4" w:space="0" w:color="auto"/>
              <w:right w:val="single" w:sz="4" w:space="0" w:color="auto"/>
            </w:tcBorders>
            <w:shd w:val="clear" w:color="auto" w:fill="auto"/>
          </w:tcPr>
          <w:p w:rsidR="00B207AC" w:rsidRPr="00B207AC" w:rsidRDefault="00B207AC" w:rsidP="00B207AC">
            <w:pPr>
              <w:pStyle w:val="TableText"/>
              <w:rPr>
                <w:sz w:val="17"/>
                <w:szCs w:val="17"/>
              </w:rPr>
            </w:pPr>
            <w:r w:rsidRPr="00B207AC">
              <w:rPr>
                <w:sz w:val="17"/>
                <w:szCs w:val="17"/>
              </w:rPr>
              <w:t>Carer Allowance</w:t>
            </w:r>
          </w:p>
        </w:tc>
        <w:tc>
          <w:tcPr>
            <w:tcW w:w="507" w:type="pct"/>
            <w:tcBorders>
              <w:top w:val="single" w:sz="4" w:space="0" w:color="auto"/>
              <w:left w:val="single" w:sz="4" w:space="0" w:color="auto"/>
              <w:bottom w:val="single" w:sz="4" w:space="0" w:color="auto"/>
              <w:right w:val="single" w:sz="4" w:space="0" w:color="auto"/>
            </w:tcBorders>
            <w:shd w:val="clear" w:color="auto" w:fill="auto"/>
          </w:tcPr>
          <w:p w:rsidR="00B207AC" w:rsidRPr="00B207AC" w:rsidRDefault="00B207AC" w:rsidP="00B207AC">
            <w:pPr>
              <w:pStyle w:val="TableText"/>
              <w:rPr>
                <w:sz w:val="17"/>
                <w:szCs w:val="17"/>
              </w:rPr>
            </w:pPr>
            <w:r w:rsidRPr="00B207AC">
              <w:rPr>
                <w:sz w:val="17"/>
                <w:szCs w:val="17"/>
              </w:rPr>
              <w:t>1</w:t>
            </w:r>
          </w:p>
        </w:tc>
        <w:tc>
          <w:tcPr>
            <w:tcW w:w="507" w:type="pct"/>
            <w:tcBorders>
              <w:top w:val="single" w:sz="4" w:space="0" w:color="auto"/>
              <w:left w:val="single" w:sz="4" w:space="0" w:color="auto"/>
              <w:bottom w:val="single" w:sz="4" w:space="0" w:color="auto"/>
              <w:right w:val="single" w:sz="4" w:space="0" w:color="auto"/>
            </w:tcBorders>
          </w:tcPr>
          <w:p w:rsidR="00B207AC" w:rsidRPr="00B207AC" w:rsidRDefault="00B207AC" w:rsidP="00B207AC">
            <w:pPr>
              <w:pStyle w:val="TableText"/>
              <w:rPr>
                <w:sz w:val="17"/>
                <w:szCs w:val="17"/>
              </w:rPr>
            </w:pPr>
            <w:r w:rsidRPr="00B207AC">
              <w:rPr>
                <w:sz w:val="17"/>
                <w:szCs w:val="17"/>
              </w:rPr>
              <w:t>0.4</w:t>
            </w:r>
          </w:p>
        </w:tc>
        <w:tc>
          <w:tcPr>
            <w:tcW w:w="507" w:type="pct"/>
            <w:tcBorders>
              <w:top w:val="single" w:sz="4" w:space="0" w:color="auto"/>
              <w:left w:val="single" w:sz="4" w:space="0" w:color="auto"/>
              <w:bottom w:val="single" w:sz="4" w:space="0" w:color="auto"/>
              <w:right w:val="single" w:sz="4" w:space="0" w:color="auto"/>
            </w:tcBorders>
            <w:shd w:val="clear" w:color="auto" w:fill="auto"/>
          </w:tcPr>
          <w:p w:rsidR="00B207AC" w:rsidRPr="00B207AC" w:rsidRDefault="00B207AC" w:rsidP="00B207AC">
            <w:pPr>
              <w:pStyle w:val="TableText"/>
              <w:rPr>
                <w:sz w:val="17"/>
                <w:szCs w:val="17"/>
              </w:rPr>
            </w:pPr>
            <w:r w:rsidRPr="00B207AC">
              <w:rPr>
                <w:sz w:val="17"/>
                <w:szCs w:val="17"/>
              </w:rPr>
              <w:t>1</w:t>
            </w:r>
          </w:p>
        </w:tc>
        <w:tc>
          <w:tcPr>
            <w:tcW w:w="507" w:type="pct"/>
            <w:tcBorders>
              <w:top w:val="single" w:sz="4" w:space="0" w:color="auto"/>
              <w:left w:val="single" w:sz="4" w:space="0" w:color="auto"/>
              <w:bottom w:val="single" w:sz="4" w:space="0" w:color="auto"/>
              <w:right w:val="single" w:sz="4" w:space="0" w:color="auto"/>
            </w:tcBorders>
          </w:tcPr>
          <w:p w:rsidR="00B207AC" w:rsidRPr="00B207AC" w:rsidRDefault="00B207AC" w:rsidP="00B207AC">
            <w:pPr>
              <w:pStyle w:val="TableText"/>
              <w:rPr>
                <w:sz w:val="17"/>
                <w:szCs w:val="17"/>
              </w:rPr>
            </w:pPr>
            <w:r w:rsidRPr="00B207AC">
              <w:rPr>
                <w:sz w:val="17"/>
                <w:szCs w:val="17"/>
              </w:rPr>
              <w:t>1.5</w:t>
            </w:r>
          </w:p>
        </w:tc>
        <w:tc>
          <w:tcPr>
            <w:tcW w:w="507" w:type="pct"/>
            <w:tcBorders>
              <w:top w:val="single" w:sz="4" w:space="0" w:color="auto"/>
              <w:left w:val="single" w:sz="4" w:space="0" w:color="auto"/>
              <w:bottom w:val="single" w:sz="4" w:space="0" w:color="auto"/>
              <w:right w:val="single" w:sz="4" w:space="0" w:color="auto"/>
            </w:tcBorders>
            <w:shd w:val="clear" w:color="auto" w:fill="auto"/>
          </w:tcPr>
          <w:p w:rsidR="00B207AC" w:rsidRPr="00B207AC" w:rsidRDefault="00B207AC" w:rsidP="00B207AC">
            <w:pPr>
              <w:pStyle w:val="TableText"/>
              <w:rPr>
                <w:sz w:val="17"/>
                <w:szCs w:val="17"/>
              </w:rPr>
            </w:pPr>
            <w:r w:rsidRPr="00B207AC">
              <w:rPr>
                <w:sz w:val="17"/>
                <w:szCs w:val="17"/>
              </w:rPr>
              <w:t>-</w:t>
            </w:r>
          </w:p>
        </w:tc>
        <w:tc>
          <w:tcPr>
            <w:tcW w:w="507" w:type="pct"/>
            <w:tcBorders>
              <w:top w:val="single" w:sz="4" w:space="0" w:color="auto"/>
              <w:left w:val="single" w:sz="4" w:space="0" w:color="auto"/>
              <w:bottom w:val="single" w:sz="4" w:space="0" w:color="auto"/>
              <w:right w:val="single" w:sz="4" w:space="0" w:color="auto"/>
            </w:tcBorders>
          </w:tcPr>
          <w:p w:rsidR="00B207AC" w:rsidRPr="00B207AC" w:rsidRDefault="00B207AC" w:rsidP="00B207AC">
            <w:pPr>
              <w:pStyle w:val="TableText"/>
              <w:rPr>
                <w:sz w:val="17"/>
                <w:szCs w:val="17"/>
              </w:rPr>
            </w:pPr>
            <w:r w:rsidRPr="00B207AC">
              <w:rPr>
                <w:sz w:val="17"/>
                <w:szCs w:val="17"/>
              </w:rPr>
              <w:t>-</w:t>
            </w:r>
          </w:p>
        </w:tc>
        <w:tc>
          <w:tcPr>
            <w:tcW w:w="507" w:type="pct"/>
            <w:tcBorders>
              <w:top w:val="single" w:sz="4" w:space="0" w:color="auto"/>
              <w:left w:val="single" w:sz="4" w:space="0" w:color="auto"/>
              <w:bottom w:val="single" w:sz="4" w:space="0" w:color="auto"/>
              <w:right w:val="single" w:sz="4" w:space="0" w:color="auto"/>
            </w:tcBorders>
          </w:tcPr>
          <w:p w:rsidR="00B207AC" w:rsidRPr="00B207AC" w:rsidRDefault="00B207AC" w:rsidP="00B207AC">
            <w:pPr>
              <w:pStyle w:val="TableText"/>
              <w:rPr>
                <w:sz w:val="17"/>
                <w:szCs w:val="17"/>
              </w:rPr>
            </w:pPr>
            <w:r w:rsidRPr="00B207AC">
              <w:rPr>
                <w:sz w:val="17"/>
                <w:szCs w:val="17"/>
              </w:rPr>
              <w:t>5</w:t>
            </w:r>
          </w:p>
        </w:tc>
        <w:tc>
          <w:tcPr>
            <w:tcW w:w="507" w:type="pct"/>
            <w:tcBorders>
              <w:top w:val="single" w:sz="4" w:space="0" w:color="auto"/>
              <w:left w:val="single" w:sz="4" w:space="0" w:color="auto"/>
              <w:bottom w:val="single" w:sz="4" w:space="0" w:color="auto"/>
              <w:right w:val="single" w:sz="4" w:space="0" w:color="auto"/>
            </w:tcBorders>
            <w:shd w:val="clear" w:color="auto" w:fill="auto"/>
          </w:tcPr>
          <w:p w:rsidR="00B207AC" w:rsidRPr="00B207AC" w:rsidRDefault="00B207AC" w:rsidP="00B207AC">
            <w:pPr>
              <w:pStyle w:val="TableText"/>
              <w:rPr>
                <w:sz w:val="17"/>
                <w:szCs w:val="17"/>
              </w:rPr>
            </w:pPr>
            <w:r w:rsidRPr="00B207AC">
              <w:rPr>
                <w:sz w:val="17"/>
                <w:szCs w:val="17"/>
              </w:rPr>
              <w:t>2.4</w:t>
            </w:r>
          </w:p>
        </w:tc>
      </w:tr>
      <w:tr w:rsidR="00B207AC" w:rsidRPr="00B207AC" w:rsidTr="00B207AC">
        <w:tc>
          <w:tcPr>
            <w:tcW w:w="942" w:type="pct"/>
            <w:tcBorders>
              <w:top w:val="single" w:sz="4" w:space="0" w:color="auto"/>
            </w:tcBorders>
            <w:shd w:val="clear" w:color="auto" w:fill="auto"/>
          </w:tcPr>
          <w:p w:rsidR="00B207AC" w:rsidRPr="00B207AC" w:rsidRDefault="00B207AC" w:rsidP="00B207AC">
            <w:pPr>
              <w:pStyle w:val="TableText"/>
              <w:rPr>
                <w:sz w:val="17"/>
                <w:szCs w:val="17"/>
              </w:rPr>
            </w:pPr>
            <w:r w:rsidRPr="00B207AC">
              <w:rPr>
                <w:sz w:val="17"/>
                <w:szCs w:val="17"/>
              </w:rPr>
              <w:t>Disability Support Pension</w:t>
            </w:r>
          </w:p>
        </w:tc>
        <w:tc>
          <w:tcPr>
            <w:tcW w:w="507" w:type="pct"/>
            <w:tcBorders>
              <w:top w:val="single" w:sz="4" w:space="0" w:color="auto"/>
            </w:tcBorders>
            <w:shd w:val="clear" w:color="auto" w:fill="auto"/>
          </w:tcPr>
          <w:p w:rsidR="00B207AC" w:rsidRPr="00B207AC" w:rsidRDefault="00B207AC" w:rsidP="00B207AC">
            <w:pPr>
              <w:pStyle w:val="TableText"/>
              <w:rPr>
                <w:sz w:val="17"/>
                <w:szCs w:val="17"/>
              </w:rPr>
            </w:pPr>
            <w:r w:rsidRPr="00B207AC">
              <w:rPr>
                <w:sz w:val="17"/>
                <w:szCs w:val="17"/>
              </w:rPr>
              <w:t>0</w:t>
            </w:r>
          </w:p>
        </w:tc>
        <w:tc>
          <w:tcPr>
            <w:tcW w:w="507" w:type="pct"/>
            <w:tcBorders>
              <w:top w:val="single" w:sz="4" w:space="0" w:color="auto"/>
            </w:tcBorders>
          </w:tcPr>
          <w:p w:rsidR="00B207AC" w:rsidRPr="00B207AC" w:rsidRDefault="00B207AC" w:rsidP="00B207AC">
            <w:pPr>
              <w:pStyle w:val="TableText"/>
              <w:rPr>
                <w:sz w:val="17"/>
                <w:szCs w:val="17"/>
              </w:rPr>
            </w:pPr>
            <w:r w:rsidRPr="00B207AC">
              <w:rPr>
                <w:sz w:val="17"/>
                <w:szCs w:val="17"/>
              </w:rPr>
              <w:t>0</w:t>
            </w:r>
          </w:p>
        </w:tc>
        <w:tc>
          <w:tcPr>
            <w:tcW w:w="507" w:type="pct"/>
            <w:tcBorders>
              <w:top w:val="single" w:sz="4" w:space="0" w:color="auto"/>
            </w:tcBorders>
            <w:shd w:val="clear" w:color="auto" w:fill="auto"/>
          </w:tcPr>
          <w:p w:rsidR="00B207AC" w:rsidRPr="00B207AC" w:rsidRDefault="00B207AC" w:rsidP="00B207AC">
            <w:pPr>
              <w:pStyle w:val="TableText"/>
              <w:rPr>
                <w:sz w:val="17"/>
                <w:szCs w:val="17"/>
              </w:rPr>
            </w:pPr>
            <w:r w:rsidRPr="00B207AC">
              <w:rPr>
                <w:sz w:val="17"/>
                <w:szCs w:val="17"/>
              </w:rPr>
              <w:t>-</w:t>
            </w:r>
          </w:p>
        </w:tc>
        <w:tc>
          <w:tcPr>
            <w:tcW w:w="507" w:type="pct"/>
            <w:tcBorders>
              <w:top w:val="single" w:sz="4" w:space="0" w:color="auto"/>
            </w:tcBorders>
          </w:tcPr>
          <w:p w:rsidR="00B207AC" w:rsidRPr="00B207AC" w:rsidRDefault="00B207AC" w:rsidP="00B207AC">
            <w:pPr>
              <w:pStyle w:val="TableText"/>
              <w:rPr>
                <w:sz w:val="17"/>
                <w:szCs w:val="17"/>
              </w:rPr>
            </w:pPr>
            <w:r w:rsidRPr="00B207AC">
              <w:rPr>
                <w:sz w:val="17"/>
                <w:szCs w:val="17"/>
              </w:rPr>
              <w:t>-</w:t>
            </w:r>
          </w:p>
        </w:tc>
        <w:tc>
          <w:tcPr>
            <w:tcW w:w="507" w:type="pct"/>
            <w:tcBorders>
              <w:top w:val="single" w:sz="4" w:space="0" w:color="auto"/>
            </w:tcBorders>
            <w:shd w:val="clear" w:color="auto" w:fill="auto"/>
          </w:tcPr>
          <w:p w:rsidR="00B207AC" w:rsidRPr="00B207AC" w:rsidRDefault="00B207AC" w:rsidP="00B207AC">
            <w:pPr>
              <w:pStyle w:val="TableText"/>
              <w:rPr>
                <w:sz w:val="17"/>
                <w:szCs w:val="17"/>
              </w:rPr>
            </w:pPr>
            <w:r w:rsidRPr="00B207AC">
              <w:rPr>
                <w:sz w:val="17"/>
                <w:szCs w:val="17"/>
              </w:rPr>
              <w:t>1</w:t>
            </w:r>
          </w:p>
        </w:tc>
        <w:tc>
          <w:tcPr>
            <w:tcW w:w="507" w:type="pct"/>
            <w:tcBorders>
              <w:top w:val="single" w:sz="4" w:space="0" w:color="auto"/>
            </w:tcBorders>
          </w:tcPr>
          <w:p w:rsidR="00B207AC" w:rsidRPr="00B207AC" w:rsidRDefault="00B207AC" w:rsidP="00B207AC">
            <w:pPr>
              <w:pStyle w:val="TableText"/>
              <w:rPr>
                <w:sz w:val="17"/>
                <w:szCs w:val="17"/>
              </w:rPr>
            </w:pPr>
            <w:r w:rsidRPr="00B207AC">
              <w:rPr>
                <w:sz w:val="17"/>
                <w:szCs w:val="17"/>
              </w:rPr>
              <w:t>4</w:t>
            </w:r>
          </w:p>
        </w:tc>
        <w:tc>
          <w:tcPr>
            <w:tcW w:w="507" w:type="pct"/>
            <w:tcBorders>
              <w:top w:val="single" w:sz="4" w:space="0" w:color="auto"/>
            </w:tcBorders>
          </w:tcPr>
          <w:p w:rsidR="00B207AC" w:rsidRPr="00B207AC" w:rsidRDefault="00B207AC" w:rsidP="00B207AC">
            <w:pPr>
              <w:pStyle w:val="TableText"/>
              <w:rPr>
                <w:sz w:val="17"/>
                <w:szCs w:val="17"/>
              </w:rPr>
            </w:pPr>
            <w:r w:rsidRPr="00B207AC">
              <w:rPr>
                <w:sz w:val="17"/>
                <w:szCs w:val="17"/>
              </w:rPr>
              <w:t>3</w:t>
            </w:r>
          </w:p>
        </w:tc>
        <w:tc>
          <w:tcPr>
            <w:tcW w:w="507" w:type="pct"/>
            <w:tcBorders>
              <w:top w:val="single" w:sz="4" w:space="0" w:color="auto"/>
            </w:tcBorders>
            <w:shd w:val="clear" w:color="auto" w:fill="auto"/>
          </w:tcPr>
          <w:p w:rsidR="00B207AC" w:rsidRPr="00B207AC" w:rsidRDefault="00B207AC" w:rsidP="00B207AC">
            <w:pPr>
              <w:pStyle w:val="TableText"/>
              <w:rPr>
                <w:sz w:val="17"/>
                <w:szCs w:val="17"/>
              </w:rPr>
            </w:pPr>
            <w:r w:rsidRPr="00B207AC">
              <w:rPr>
                <w:sz w:val="17"/>
                <w:szCs w:val="17"/>
              </w:rPr>
              <w:t>1.5</w:t>
            </w:r>
          </w:p>
        </w:tc>
      </w:tr>
    </w:tbl>
    <w:p w:rsidR="00B207AC" w:rsidRDefault="00B207AC" w:rsidP="00B207AC"/>
    <w:p w:rsidR="007D0961" w:rsidRDefault="007D0961" w:rsidP="00B207AC">
      <w:r w:rsidRPr="007D0961">
        <w:t>Figure 3 outlines the various reasons for YA ineligibility for respondents aged under 25 years. Irrespective of relocated status, the major reason for not receiving government allowances was due to parental income being too high, followed by parental assets being too high. Despite not receiving income support, evidence indicates that regional students still choose to relocate to further their education, with qualitative evidence suggesting this choice has negative impacts on their emotional and physical wellbeing and their studies.</w:t>
      </w:r>
    </w:p>
    <w:p w:rsidR="00F7753D" w:rsidRPr="00E12B4F" w:rsidRDefault="00F7753D" w:rsidP="00F7753D">
      <w:pPr>
        <w:pStyle w:val="FigureTitles"/>
        <w:rPr>
          <w:rFonts w:eastAsia="Calibri"/>
          <w:noProof/>
          <w:sz w:val="24"/>
        </w:rPr>
      </w:pPr>
      <w:bookmarkStart w:id="32" w:name="_Toc517270577"/>
      <w:r>
        <w:rPr>
          <w:noProof/>
          <w:lang w:eastAsia="en-AU"/>
        </w:rPr>
        <w:drawing>
          <wp:anchor distT="0" distB="0" distL="114300" distR="114300" simplePos="0" relativeHeight="251673600" behindDoc="0" locked="0" layoutInCell="1" allowOverlap="1">
            <wp:simplePos x="0" y="0"/>
            <wp:positionH relativeFrom="column">
              <wp:posOffset>0</wp:posOffset>
            </wp:positionH>
            <wp:positionV relativeFrom="paragraph">
              <wp:posOffset>179705</wp:posOffset>
            </wp:positionV>
            <wp:extent cx="5731510" cy="2504440"/>
            <wp:effectExtent l="0" t="0" r="2540" b="0"/>
            <wp:wrapSquare wrapText="bothSides"/>
            <wp:docPr id="1" name="Picture 1" descr="Bar graph displaying the reasons for students under the age of 25 not receiving government allowances (shown in percentages). Separated into students that had relocated and students that hadn't."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504440"/>
                    </a:xfrm>
                    <a:prstGeom prst="rect">
                      <a:avLst/>
                    </a:prstGeom>
                  </pic:spPr>
                </pic:pic>
              </a:graphicData>
            </a:graphic>
            <wp14:sizeRelH relativeFrom="page">
              <wp14:pctWidth>0</wp14:pctWidth>
            </wp14:sizeRelH>
            <wp14:sizeRelV relativeFrom="page">
              <wp14:pctHeight>0</wp14:pctHeight>
            </wp14:sizeRelV>
          </wp:anchor>
        </w:drawing>
      </w:r>
      <w:r>
        <w:rPr>
          <w:rFonts w:eastAsia="Calibri"/>
          <w:b w:val="0"/>
          <w:sz w:val="24"/>
          <w:szCs w:val="22"/>
        </w:rPr>
        <w:br/>
      </w:r>
      <w:r>
        <w:t xml:space="preserve">Figure </w:t>
      </w:r>
      <w:fldSimple w:instr=" SEQ Figure \* ARABIC ">
        <w:r w:rsidR="00B00AA1">
          <w:rPr>
            <w:noProof/>
          </w:rPr>
          <w:t>3</w:t>
        </w:r>
      </w:fldSimple>
      <w:r>
        <w:t xml:space="preserve">: </w:t>
      </w:r>
      <w:r w:rsidRPr="00A93A5C">
        <w:t>Reasons for not receiving government allowances for students aged under 25 years</w:t>
      </w:r>
      <w:bookmarkEnd w:id="32"/>
    </w:p>
    <w:p w:rsidR="00F66CD5" w:rsidRPr="00F66CD5" w:rsidRDefault="00F66CD5" w:rsidP="00F66CD5">
      <w:pPr>
        <w:rPr>
          <w:lang w:val="en-US"/>
        </w:rPr>
      </w:pPr>
      <w:r w:rsidRPr="00F66CD5">
        <w:rPr>
          <w:lang w:val="en-US"/>
        </w:rPr>
        <w:t>The current system factors in both income and assets as part of the means test to determine eligibility for a range of government allowances for dependent students aged under 22 years. Recent legislative change that commenced on 1 January 2016</w:t>
      </w:r>
      <w:r>
        <w:rPr>
          <w:rStyle w:val="FootnoteReference"/>
          <w:lang w:val="en-US"/>
        </w:rPr>
        <w:footnoteReference w:id="6"/>
      </w:r>
      <w:r w:rsidRPr="00F66CD5">
        <w:rPr>
          <w:lang w:val="en-US"/>
        </w:rPr>
        <w:t xml:space="preserve"> has seen the removal of parent assets from the Youth Allowance means test resulting in an increased number of dependent students aged under 22 years who will now be eligible for government support.</w:t>
      </w:r>
    </w:p>
    <w:p w:rsidR="00F66CD5" w:rsidRPr="00F66CD5" w:rsidRDefault="00986C1F" w:rsidP="00F66CD5">
      <w:pPr>
        <w:rPr>
          <w:lang w:val="en-US"/>
        </w:rPr>
      </w:pPr>
      <w:r>
        <w:rPr>
          <w:noProof/>
          <w:lang w:eastAsia="en-AU"/>
        </w:rPr>
        <w:drawing>
          <wp:anchor distT="0" distB="0" distL="114300" distR="114300" simplePos="0" relativeHeight="251674624" behindDoc="0" locked="0" layoutInCell="1" allowOverlap="1">
            <wp:simplePos x="0" y="0"/>
            <wp:positionH relativeFrom="column">
              <wp:posOffset>0</wp:posOffset>
            </wp:positionH>
            <wp:positionV relativeFrom="paragraph">
              <wp:posOffset>648158</wp:posOffset>
            </wp:positionV>
            <wp:extent cx="5731510" cy="2752725"/>
            <wp:effectExtent l="0" t="0" r="2540" b="9525"/>
            <wp:wrapSquare wrapText="bothSides"/>
            <wp:docPr id="4" name="Picture 4" descr="Bar graph displaying the reasons for students aged 25 and over for not receiving government allowances (shown in percentages), split into relocated and non-relocated."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752725"/>
                    </a:xfrm>
                    <a:prstGeom prst="rect">
                      <a:avLst/>
                    </a:prstGeom>
                  </pic:spPr>
                </pic:pic>
              </a:graphicData>
            </a:graphic>
            <wp14:sizeRelH relativeFrom="page">
              <wp14:pctWidth>0</wp14:pctWidth>
            </wp14:sizeRelH>
            <wp14:sizeRelV relativeFrom="page">
              <wp14:pctHeight>0</wp14:pctHeight>
            </wp14:sizeRelV>
          </wp:anchor>
        </w:drawing>
      </w:r>
      <w:r w:rsidR="00F66CD5" w:rsidRPr="00F66CD5">
        <w:rPr>
          <w:lang w:val="en-US"/>
        </w:rPr>
        <w:t>In comparison, for students aged 25 years and over, the major reason for ineligibility for government allowance is an individual’s income being too high.</w:t>
      </w:r>
    </w:p>
    <w:p w:rsidR="00986C1F" w:rsidRDefault="00986C1F" w:rsidP="00986C1F">
      <w:pPr>
        <w:pStyle w:val="Caption"/>
      </w:pPr>
    </w:p>
    <w:p w:rsidR="00986C1F" w:rsidRPr="000B7E02" w:rsidRDefault="00986C1F" w:rsidP="00986C1F">
      <w:pPr>
        <w:pStyle w:val="FigureTitles"/>
        <w:rPr>
          <w:rFonts w:eastAsia="Calibri"/>
          <w:noProof/>
          <w:sz w:val="24"/>
        </w:rPr>
      </w:pPr>
      <w:r>
        <w:br/>
      </w:r>
      <w:bookmarkStart w:id="33" w:name="_Toc517270578"/>
      <w:r>
        <w:t xml:space="preserve">Figure </w:t>
      </w:r>
      <w:fldSimple w:instr=" SEQ Figure \* ARABIC ">
        <w:r w:rsidR="00B00AA1">
          <w:rPr>
            <w:noProof/>
          </w:rPr>
          <w:t>4</w:t>
        </w:r>
      </w:fldSimple>
      <w:r>
        <w:t xml:space="preserve">: </w:t>
      </w:r>
      <w:r w:rsidRPr="003E27AF">
        <w:t>Reasons for not receiving government allowances for students aged 25 years and over</w:t>
      </w:r>
      <w:bookmarkEnd w:id="33"/>
    </w:p>
    <w:p w:rsidR="00F7753D" w:rsidRDefault="00F7753D" w:rsidP="00B207AC"/>
    <w:p w:rsidR="00986C1F" w:rsidRDefault="00986C1F" w:rsidP="00986C1F">
      <w:pPr>
        <w:pStyle w:val="Heading2"/>
      </w:pPr>
      <w:bookmarkStart w:id="34" w:name="_Toc517270333"/>
      <w:r>
        <w:t>3.2 Additional Government Support</w:t>
      </w:r>
      <w:bookmarkEnd w:id="34"/>
    </w:p>
    <w:p w:rsidR="00986C1F" w:rsidRDefault="00986C1F" w:rsidP="00986C1F">
      <w:r>
        <w:t>In addition to income support, the Australian Government also provides a number of additional allowances and financial support mechanisms that include rent assistance, healthcare benefits and fares assistance. Figure 5 outlines the proportion of respondents aged under 25 years in receipt of additional government support.</w:t>
      </w:r>
    </w:p>
    <w:p w:rsidR="00986C1F" w:rsidRDefault="00986C1F" w:rsidP="00986C1F">
      <w:r>
        <w:t>Of the students aged under 25 who have relocated, 46% indicate they receive rent assistance, 22% receive healthcare benefits and 37% receive no additional support. For those students who have not relocated, 12% receive rent assistance, 14% receive healthcare benefits and 66% have indicated that they receive no additional support.</w:t>
      </w:r>
    </w:p>
    <w:p w:rsidR="00C76BF3" w:rsidRDefault="00C76BF3" w:rsidP="00986C1F">
      <w:r w:rsidRPr="00C76BF3">
        <w:t>Rent assistance was the most common additional support received by all respondents, and whilst there is an apparent range in value amount, with one student receiving as little as $7 per week, the majority of students indicated that it provided essential money for day-to-day living, providing some relief of the financial burden placed on parents.</w:t>
      </w:r>
    </w:p>
    <w:p w:rsidR="00C76BF3" w:rsidRDefault="00C76BF3" w:rsidP="00C76BF3">
      <w:pPr>
        <w:pStyle w:val="Caption"/>
      </w:pPr>
    </w:p>
    <w:p w:rsidR="00C76BF3" w:rsidRPr="00F93B41" w:rsidRDefault="00C76BF3" w:rsidP="00C76BF3">
      <w:pPr>
        <w:pStyle w:val="FigureTitles"/>
        <w:rPr>
          <w:rFonts w:eastAsia="Calibri"/>
          <w:noProof/>
          <w:sz w:val="24"/>
        </w:rPr>
      </w:pPr>
      <w:r>
        <w:br/>
      </w:r>
      <w:bookmarkStart w:id="35" w:name="_Toc517270579"/>
      <w:r>
        <w:rPr>
          <w:noProof/>
          <w:lang w:eastAsia="en-AU"/>
        </w:rPr>
        <w:drawing>
          <wp:anchor distT="0" distB="0" distL="114300" distR="114300" simplePos="0" relativeHeight="251675648" behindDoc="0" locked="0" layoutInCell="1" allowOverlap="1">
            <wp:simplePos x="0" y="0"/>
            <wp:positionH relativeFrom="column">
              <wp:posOffset>9687</wp:posOffset>
            </wp:positionH>
            <wp:positionV relativeFrom="paragraph">
              <wp:posOffset>0</wp:posOffset>
            </wp:positionV>
            <wp:extent cx="5731510" cy="3034665"/>
            <wp:effectExtent l="0" t="0" r="2540" b="0"/>
            <wp:wrapSquare wrapText="bothSides"/>
            <wp:docPr id="7" name="Picture 7" descr="Bar graph displaying the percentage of students aged under 25 for receiving additional government allowances (shown in percentages), split into relocated and non-relocated."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5.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3034665"/>
                    </a:xfrm>
                    <a:prstGeom prst="rect">
                      <a:avLst/>
                    </a:prstGeom>
                  </pic:spPr>
                </pic:pic>
              </a:graphicData>
            </a:graphic>
            <wp14:sizeRelH relativeFrom="page">
              <wp14:pctWidth>0</wp14:pctWidth>
            </wp14:sizeRelH>
            <wp14:sizeRelV relativeFrom="page">
              <wp14:pctHeight>0</wp14:pctHeight>
            </wp14:sizeRelV>
          </wp:anchor>
        </w:drawing>
      </w:r>
      <w:r>
        <w:t xml:space="preserve">Figure </w:t>
      </w:r>
      <w:fldSimple w:instr=" SEQ Figure \* ARABIC ">
        <w:r w:rsidR="00B00AA1">
          <w:rPr>
            <w:noProof/>
          </w:rPr>
          <w:t>5</w:t>
        </w:r>
      </w:fldSimple>
      <w:r>
        <w:t xml:space="preserve">: </w:t>
      </w:r>
      <w:r w:rsidRPr="00084FE1">
        <w:t>Percentage of students aged under 25 receiving additional government allowances</w:t>
      </w:r>
      <w:bookmarkEnd w:id="35"/>
    </w:p>
    <w:p w:rsidR="00C76BF3" w:rsidRDefault="00C76BF3" w:rsidP="00986C1F"/>
    <w:p w:rsidR="00C76BF3" w:rsidRDefault="00C76BF3" w:rsidP="00C76BF3">
      <w:pPr>
        <w:pStyle w:val="Quote"/>
        <w:rPr>
          <w:i w:val="0"/>
        </w:rPr>
      </w:pPr>
      <w:r>
        <w:t xml:space="preserve">I now get some rent assistance which covers that, and also some electricity... there’s a small amount that goes towards electricity payments, and there is also another allotment for food shopping or anything that needs to go to the house ... and so that’s been really good because my parents don’t then have to pay for that, and so there’s less financial stress on them and myself. </w:t>
      </w:r>
      <w:r w:rsidRPr="00C76BF3">
        <w:rPr>
          <w:i w:val="0"/>
        </w:rPr>
        <w:t>Lucy</w:t>
      </w:r>
    </w:p>
    <w:p w:rsidR="002F240B" w:rsidRDefault="00451C64" w:rsidP="00451C64">
      <w:r>
        <w:t xml:space="preserve">Whilst there appeared to be a strong awareness of the existence of rent assistance, fewer students appeared to be aware of fares assistance. </w:t>
      </w:r>
    </w:p>
    <w:p w:rsidR="002F240B" w:rsidRDefault="002F240B" w:rsidP="00451C64">
      <w:r>
        <w:rPr>
          <w:noProof/>
          <w:lang w:eastAsia="en-AU"/>
        </w:rPr>
        <w:drawing>
          <wp:anchor distT="0" distB="0" distL="114300" distR="114300" simplePos="0" relativeHeight="251676672" behindDoc="0" locked="0" layoutInCell="1" allowOverlap="1">
            <wp:simplePos x="0" y="0"/>
            <wp:positionH relativeFrom="column">
              <wp:posOffset>11430</wp:posOffset>
            </wp:positionH>
            <wp:positionV relativeFrom="paragraph">
              <wp:posOffset>289808</wp:posOffset>
            </wp:positionV>
            <wp:extent cx="5731510" cy="2938780"/>
            <wp:effectExtent l="0" t="0" r="2540" b="0"/>
            <wp:wrapSquare wrapText="bothSides"/>
            <wp:docPr id="10" name="Picture 10" descr="Bar graph displaying the percentage of students aged 25 and over for receiving additional government allowances (shown in percentages), split into relocated and non-relocated."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6.jpg"/>
                    <pic:cNvPicPr/>
                  </pic:nvPicPr>
                  <pic:blipFill>
                    <a:blip r:embed="rId15">
                      <a:extLst>
                        <a:ext uri="{28A0092B-C50C-407E-A947-70E740481C1C}">
                          <a14:useLocalDpi xmlns:a14="http://schemas.microsoft.com/office/drawing/2010/main" val="0"/>
                        </a:ext>
                      </a:extLst>
                    </a:blip>
                    <a:stretch>
                      <a:fillRect/>
                    </a:stretch>
                  </pic:blipFill>
                  <pic:spPr>
                    <a:xfrm>
                      <a:off x="0" y="0"/>
                      <a:ext cx="5731510" cy="2938780"/>
                    </a:xfrm>
                    <a:prstGeom prst="rect">
                      <a:avLst/>
                    </a:prstGeom>
                  </pic:spPr>
                </pic:pic>
              </a:graphicData>
            </a:graphic>
            <wp14:sizeRelH relativeFrom="page">
              <wp14:pctWidth>0</wp14:pctWidth>
            </wp14:sizeRelH>
            <wp14:sizeRelV relativeFrom="page">
              <wp14:pctHeight>0</wp14:pctHeight>
            </wp14:sizeRelV>
          </wp:anchor>
        </w:drawing>
      </w:r>
    </w:p>
    <w:p w:rsidR="002F240B" w:rsidRPr="00451C64" w:rsidRDefault="002F240B" w:rsidP="002F240B">
      <w:pPr>
        <w:pStyle w:val="FigureTitles"/>
      </w:pPr>
      <w:r>
        <w:br/>
      </w:r>
      <w:bookmarkStart w:id="36" w:name="_Toc517270580"/>
      <w:r>
        <w:t xml:space="preserve">Figure </w:t>
      </w:r>
      <w:fldSimple w:instr=" SEQ Figure \* ARABIC ">
        <w:r w:rsidR="00B00AA1">
          <w:rPr>
            <w:noProof/>
          </w:rPr>
          <w:t>6</w:t>
        </w:r>
      </w:fldSimple>
      <w:r>
        <w:t xml:space="preserve">: </w:t>
      </w:r>
      <w:r w:rsidRPr="007C56CF">
        <w:t>Percentage of students aged 25 and over receiving additional government allowances</w:t>
      </w:r>
      <w:bookmarkEnd w:id="36"/>
    </w:p>
    <w:p w:rsidR="00451C64" w:rsidRDefault="00451C64" w:rsidP="00451C64">
      <w:r>
        <w:t>To assist students returning to their rural homes to visit family, the government offers fares assistance for those students receiving ‘living away from home’ dependent Youth Allowance, which consists of payment for the ‘least-expensive practical form of public transport’ at the commencement and completion of the academic year plus one annual return trip during the year. Despite the availability of this type of financial support, of the 71 respondents in receipt of dependent YA, only one respondent indicated receiving fares assistance, suggesting that either regional students are unaware of the available financial support or that public transport options are impractical.</w:t>
      </w:r>
    </w:p>
    <w:p w:rsidR="00451C64" w:rsidRDefault="00451C64" w:rsidP="00451C64">
      <w:r>
        <w:t>Of the students aged 25 years and over that have relocated, 32% receive rent assistance. With the exception of Family Tax Benefit there are no significant differences between those who have relocated or not relocated.</w:t>
      </w:r>
    </w:p>
    <w:p w:rsidR="00BD3A7E" w:rsidRDefault="00BD3A7E" w:rsidP="00BD3A7E">
      <w:pPr>
        <w:pStyle w:val="Heading2"/>
      </w:pPr>
      <w:bookmarkStart w:id="37" w:name="_Toc517270334"/>
      <w:r>
        <w:t>3.3 Employment</w:t>
      </w:r>
      <w:bookmarkEnd w:id="37"/>
    </w:p>
    <w:p w:rsidR="002F240B" w:rsidRDefault="00BD3A7E" w:rsidP="00BD3A7E">
      <w:pPr>
        <w:keepNext/>
      </w:pPr>
      <w:r>
        <w:t>Findings by Baik et al. (2015) indicate that there is an increasing trend towards combining work and study, with this study confirming that 75% of respondents are engaged in paid employment. Figure 7 shows the various combinations of paid employment and study by respondents. 26% of the undergraduate students study full time and work up to 16 hours per week with most students studying bachelor degree and foundation studies. A further 13.2% of undergraduates study full time and work up to 24 hours per week. Research suggests that an increased number of hours spent working can have adverse effects on academic achievement. Previous studies have found that students who work more than 16 hours per week are more likely to achieve only an average mark of 60% or less and that longer working hours contribute to higher education attrition rates (Halliday- Wynes &amp; Nguyen 2014; van Reyk 2012).</w:t>
      </w:r>
      <w:r w:rsidR="002C2231">
        <w:br/>
      </w:r>
    </w:p>
    <w:p w:rsidR="002C2231" w:rsidRPr="0055438F" w:rsidRDefault="002C2231" w:rsidP="002C2231">
      <w:pPr>
        <w:pStyle w:val="FigureTitles"/>
        <w:rPr>
          <w:rFonts w:eastAsia="Calibri"/>
          <w:noProof/>
          <w:sz w:val="24"/>
        </w:rPr>
      </w:pPr>
      <w:bookmarkStart w:id="38" w:name="_Toc517270581"/>
      <w:r>
        <w:rPr>
          <w:noProof/>
          <w:lang w:eastAsia="en-AU"/>
        </w:rPr>
        <w:drawing>
          <wp:anchor distT="0" distB="0" distL="114300" distR="114300" simplePos="0" relativeHeight="251677696" behindDoc="0" locked="0" layoutInCell="1" allowOverlap="1">
            <wp:simplePos x="0" y="0"/>
            <wp:positionH relativeFrom="column">
              <wp:posOffset>0</wp:posOffset>
            </wp:positionH>
            <wp:positionV relativeFrom="paragraph">
              <wp:posOffset>135172</wp:posOffset>
            </wp:positionV>
            <wp:extent cx="5731510" cy="3300730"/>
            <wp:effectExtent l="0" t="0" r="2540" b="0"/>
            <wp:wrapSquare wrapText="bothSides"/>
            <wp:docPr id="11" name="Picture 11" descr="Bar graph displaying the study/work patterns of students aged under 25 (shown in percentages), split into relocated and non-relocated."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7.jpg"/>
                    <pic:cNvPicPr/>
                  </pic:nvPicPr>
                  <pic:blipFill>
                    <a:blip r:embed="rId16">
                      <a:extLst>
                        <a:ext uri="{28A0092B-C50C-407E-A947-70E740481C1C}">
                          <a14:useLocalDpi xmlns:a14="http://schemas.microsoft.com/office/drawing/2010/main" val="0"/>
                        </a:ext>
                      </a:extLst>
                    </a:blip>
                    <a:stretch>
                      <a:fillRect/>
                    </a:stretch>
                  </pic:blipFill>
                  <pic:spPr>
                    <a:xfrm>
                      <a:off x="0" y="0"/>
                      <a:ext cx="5731510" cy="3300730"/>
                    </a:xfrm>
                    <a:prstGeom prst="rect">
                      <a:avLst/>
                    </a:prstGeom>
                  </pic:spPr>
                </pic:pic>
              </a:graphicData>
            </a:graphic>
            <wp14:sizeRelH relativeFrom="page">
              <wp14:pctWidth>0</wp14:pctWidth>
            </wp14:sizeRelH>
            <wp14:sizeRelV relativeFrom="page">
              <wp14:pctHeight>0</wp14:pctHeight>
            </wp14:sizeRelV>
          </wp:anchor>
        </w:drawing>
      </w:r>
      <w:r>
        <w:br/>
        <w:t xml:space="preserve">Figure </w:t>
      </w:r>
      <w:fldSimple w:instr=" SEQ Figure \* ARABIC ">
        <w:r w:rsidR="00B00AA1">
          <w:rPr>
            <w:noProof/>
          </w:rPr>
          <w:t>7</w:t>
        </w:r>
      </w:fldSimple>
      <w:r>
        <w:t xml:space="preserve">: </w:t>
      </w:r>
      <w:r w:rsidRPr="00BE04AA">
        <w:t>Study/work patterns of students aged under 25</w:t>
      </w:r>
      <w:bookmarkEnd w:id="38"/>
    </w:p>
    <w:p w:rsidR="002C2231" w:rsidRDefault="002C2231" w:rsidP="002C2231">
      <w:pPr>
        <w:keepNext/>
      </w:pPr>
      <w:r>
        <w:t>Of the students aged under 25 who relocated, 45% (n=136) indicated that they were not currently employed on a regular basis. Polesel and Klatt (2014) noted that there are ‘large differences between students from metropolitan and non-metropolitan regions in their likelihood of working and in the number of hours worked. Non-metropolitan students are much more likely not to be working at all.’ (p. 187) For students that have relocated our findings support this outcome.</w:t>
      </w:r>
    </w:p>
    <w:p w:rsidR="002C2231" w:rsidRDefault="002C2231" w:rsidP="002C2231">
      <w:pPr>
        <w:keepNext/>
      </w:pPr>
      <w:r>
        <w:t>During interviews a number of students commented about the unexpected challenge associated with finding employment in the city, suggesting that age becomes a barrier as well as the requirement to return home during semester break.</w:t>
      </w:r>
    </w:p>
    <w:p w:rsidR="002C2231" w:rsidRDefault="002C2231" w:rsidP="002C2231">
      <w:pPr>
        <w:pStyle w:val="Quote"/>
      </w:pPr>
      <w:r>
        <w:t>I’ve recently got a job. I’ve been looking since the start of the year and I’ve only just gotten a job. I found when I was looking for a job it was stressing me out more than ... because I thought, ‘urgh ... I’ve gotta get a job, I’ve gotta help Mum and Dad’, and that just stressed me out way too much ... so then I wouldn’t focus on my studies.</w:t>
      </w:r>
      <w:r w:rsidRPr="002C2231">
        <w:rPr>
          <w:i w:val="0"/>
        </w:rPr>
        <w:t xml:space="preserve"> Jasmine</w:t>
      </w:r>
    </w:p>
    <w:p w:rsidR="002C2231" w:rsidRDefault="002C2231" w:rsidP="002C2231">
      <w:pPr>
        <w:pStyle w:val="Quote"/>
      </w:pPr>
      <w:r>
        <w:t xml:space="preserve">It’s so hard, because a lot of the fast food people want young people to pay less ... but because my shifts at McDonald’s are overnight and over the weekend, you have to be over 18 to do the night shifts. So, I’m only getting those shifts because I’m over 18. </w:t>
      </w:r>
      <w:r w:rsidRPr="002C2231">
        <w:rPr>
          <w:i w:val="0"/>
        </w:rPr>
        <w:t>Jasmine</w:t>
      </w:r>
    </w:p>
    <w:p w:rsidR="002C2231" w:rsidRDefault="002C2231" w:rsidP="002C2231">
      <w:pPr>
        <w:pStyle w:val="Quote"/>
      </w:pPr>
      <w:r>
        <w:t xml:space="preserve">In the last two semesters I’ve struggled a lot. It has been quite hard. I’ve </w:t>
      </w:r>
      <w:r>
        <w:br/>
        <w:t xml:space="preserve">had to be a hermit and not really do anything. At [name of employer] I’m one </w:t>
      </w:r>
      <w:r>
        <w:br/>
        <w:t xml:space="preserve">of the oldest staff members ... I’m 21 and I’m full wages so they wanna give </w:t>
      </w:r>
      <w:r>
        <w:br/>
        <w:t xml:space="preserve">the shifts to the younger people, so that’s been hard ... they don’t give me weekend work. </w:t>
      </w:r>
      <w:r w:rsidRPr="002C2231">
        <w:rPr>
          <w:i w:val="0"/>
        </w:rPr>
        <w:t>Zoe</w:t>
      </w:r>
    </w:p>
    <w:p w:rsidR="002C2231" w:rsidRDefault="002C2231" w:rsidP="002C2231">
      <w:pPr>
        <w:pStyle w:val="Quote"/>
        <w:rPr>
          <w:i w:val="0"/>
        </w:rPr>
      </w:pPr>
      <w:r>
        <w:t xml:space="preserve">Because I go home every term it’s hard to get work and keep work if they know that you’re only going to be here for eight weeks or so at a time. </w:t>
      </w:r>
      <w:r w:rsidRPr="002C2231">
        <w:rPr>
          <w:i w:val="0"/>
        </w:rPr>
        <w:t>Regina</w:t>
      </w:r>
    </w:p>
    <w:p w:rsidR="002C2231" w:rsidRDefault="002C2231" w:rsidP="002C2231">
      <w:r>
        <w:t>Comments in interviews highlight a reluctant reliance on family support when students find it difficult to find employment. A common theme was the anguish and concern that this reliance on family creates, with a keen awareness of the burden placed on their families. This is discussed further in Section 3.8, below. The forced dependence despite living away from home at the same time as having to acquire independence skills contributed to another layer of stress.</w:t>
      </w:r>
    </w:p>
    <w:p w:rsidR="002C2231" w:rsidRDefault="002C2231" w:rsidP="002C2231">
      <w:pPr>
        <w:pStyle w:val="Quote"/>
      </w:pPr>
      <w:r>
        <w:t xml:space="preserve">My Dad has been out of my life for close on six years now, so it’s pretty much just my Mum taking care of everything. She’s 61 and a retired teacher so it’s a bit unfair on her to have this burden that I’m supposed to be her dependant. She obviously can’t afford to financially take care of me. </w:t>
      </w:r>
      <w:r w:rsidRPr="002C2231">
        <w:rPr>
          <w:i w:val="0"/>
        </w:rPr>
        <w:t>Harry</w:t>
      </w:r>
    </w:p>
    <w:p w:rsidR="002C2231" w:rsidRDefault="002C2231" w:rsidP="002C2231">
      <w:pPr>
        <w:pStyle w:val="Quote"/>
      </w:pPr>
      <w:r>
        <w:t xml:space="preserve">I have a lot of medication so my parents help with that, but I’ve recently got a job. I’ve been looking since the start of the year and I’ve only just gotten a job. So, that’ll be a bit better ... they won’t need to put so much money towards me (because I can then pay for my own medication), because although I know that they will help me when I need it ... I don’t want to continuously be, ‘Mum ... I need money for this’. </w:t>
      </w:r>
      <w:r w:rsidRPr="002C2231">
        <w:rPr>
          <w:i w:val="0"/>
        </w:rPr>
        <w:t>Jasmine</w:t>
      </w:r>
    </w:p>
    <w:p w:rsidR="002C2231" w:rsidRDefault="002C2231" w:rsidP="002C2231">
      <w:pPr>
        <w:pStyle w:val="Quote"/>
      </w:pPr>
      <w:r>
        <w:t xml:space="preserve">It’s to the point where my parents can’t actually give me any more money. For that first six to eight months they were paying for everything … making sure that I had enough money to pay rent and that sort of thing. But that placed financial stress on them. </w:t>
      </w:r>
      <w:r w:rsidRPr="002C2231">
        <w:rPr>
          <w:i w:val="0"/>
        </w:rPr>
        <w:t>Lily</w:t>
      </w:r>
    </w:p>
    <w:p w:rsidR="002C2231" w:rsidRDefault="002C2231" w:rsidP="00557332">
      <w:pPr>
        <w:pStyle w:val="Quote"/>
      </w:pPr>
      <w:r>
        <w:t xml:space="preserve">So I turned 22 in April ... but up until then I received nothing ... and it was impossible. My parents were having to completely support me which obviously puts financial stress on them that they don’t need, and it made it hard because it was ... you sort of are juggling, ‘can I eat today’ and there were no social outings ... that was just completely off the radar because there’s also all of the university costs (travel to placements ... any textbooks required), and so not having any financial support was very difficult. </w:t>
      </w:r>
      <w:r w:rsidRPr="002C2231">
        <w:rPr>
          <w:i w:val="0"/>
        </w:rPr>
        <w:t>Lucy</w:t>
      </w:r>
    </w:p>
    <w:p w:rsidR="002C2231" w:rsidRDefault="002C2231" w:rsidP="002C2231">
      <w:r>
        <w:t>Whilst lack of employment opportunities provide a partial explanation of the number of students not engaged in regular paid work, 16% (n=98) of survey respondents indicated that they engage in seasonal work patterns, returning to regional areas during semester break to work and save money for the upcoming study year.</w:t>
      </w:r>
    </w:p>
    <w:p w:rsidR="002C2231" w:rsidRDefault="002C2231" w:rsidP="00557332">
      <w:pPr>
        <w:pStyle w:val="Quote"/>
      </w:pPr>
      <w:r>
        <w:t xml:space="preserve">I don’t work while I’m down here. I try to just keep my focus on my studies. I work so hard during the summer so that I can just do uni and study and stuff like that. At the moment I’m doing placement which </w:t>
      </w:r>
      <w:r w:rsidR="00557332">
        <w:t xml:space="preserve">cuts into my time again. </w:t>
      </w:r>
      <w:r w:rsidR="00557332" w:rsidRPr="00557332">
        <w:rPr>
          <w:i w:val="0"/>
        </w:rPr>
        <w:t>Daniel</w:t>
      </w:r>
    </w:p>
    <w:p w:rsidR="002C2231" w:rsidRDefault="002C2231" w:rsidP="002C2231">
      <w:r>
        <w:t>Figure 8 displays the study and work patterns for students aged 25 years and over, indicating that whilst the majority (33%) of students that relocate study full time and work up to 16 hours per week, those that don’t relocate tend to study part time and work more than 32 hours per week. This suggests that having valued existing employment may deter regional students from relocating.</w:t>
      </w:r>
    </w:p>
    <w:p w:rsidR="00794FEB" w:rsidRPr="00794FEB" w:rsidRDefault="00794FEB" w:rsidP="00794FEB">
      <w:pPr>
        <w:pStyle w:val="FigureTitles"/>
        <w:rPr>
          <w:rFonts w:eastAsia="Calibri"/>
          <w:noProof/>
          <w:sz w:val="24"/>
        </w:rPr>
      </w:pPr>
      <w:bookmarkStart w:id="39" w:name="_Toc517270582"/>
      <w:r>
        <w:rPr>
          <w:noProof/>
          <w:lang w:eastAsia="en-AU"/>
        </w:rPr>
        <w:drawing>
          <wp:anchor distT="0" distB="0" distL="114300" distR="114300" simplePos="0" relativeHeight="251678720" behindDoc="0" locked="0" layoutInCell="1" allowOverlap="1">
            <wp:simplePos x="0" y="0"/>
            <wp:positionH relativeFrom="column">
              <wp:posOffset>-59055</wp:posOffset>
            </wp:positionH>
            <wp:positionV relativeFrom="paragraph">
              <wp:posOffset>145415</wp:posOffset>
            </wp:positionV>
            <wp:extent cx="5731510" cy="2544445"/>
            <wp:effectExtent l="0" t="0" r="2540" b="8255"/>
            <wp:wrapSquare wrapText="bothSides"/>
            <wp:docPr id="14" name="Picture 14" descr="Bar graph displaying the study/work patterns of students aged 25 and over (shown in percentages), split into relocated and non-relocated."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8.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2544445"/>
                    </a:xfrm>
                    <a:prstGeom prst="rect">
                      <a:avLst/>
                    </a:prstGeom>
                  </pic:spPr>
                </pic:pic>
              </a:graphicData>
            </a:graphic>
            <wp14:sizeRelH relativeFrom="page">
              <wp14:pctWidth>0</wp14:pctWidth>
            </wp14:sizeRelH>
            <wp14:sizeRelV relativeFrom="page">
              <wp14:pctHeight>0</wp14:pctHeight>
            </wp14:sizeRelV>
          </wp:anchor>
        </w:drawing>
      </w:r>
      <w:r>
        <w:br/>
        <w:t xml:space="preserve">Figure </w:t>
      </w:r>
      <w:fldSimple w:instr=" SEQ Figure \* ARABIC ">
        <w:r w:rsidR="00B00AA1">
          <w:rPr>
            <w:noProof/>
          </w:rPr>
          <w:t>8</w:t>
        </w:r>
      </w:fldSimple>
      <w:r>
        <w:t xml:space="preserve">: </w:t>
      </w:r>
      <w:r w:rsidRPr="00E47481">
        <w:t>Study/work patterns of students aged 25 and over</w:t>
      </w:r>
      <w:bookmarkEnd w:id="39"/>
    </w:p>
    <w:p w:rsidR="00794FEB" w:rsidRDefault="00794FEB" w:rsidP="00794FEB">
      <w:pPr>
        <w:pStyle w:val="Heading2"/>
      </w:pPr>
      <w:r>
        <w:br/>
      </w:r>
      <w:bookmarkStart w:id="40" w:name="_Toc517270335"/>
      <w:r>
        <w:t>3.4 Scholarships</w:t>
      </w:r>
      <w:bookmarkEnd w:id="40"/>
    </w:p>
    <w:p w:rsidR="00794FEB" w:rsidRDefault="00794FEB" w:rsidP="00794FEB">
      <w:r>
        <w:t>A significant number (n=185) of respondents indicated that they receive scholarship income that has made relocation for study a more manageable process. Scholarship income contributes financial relief towards the initial cost of relocating to attend university, as well meeting ongoing living expenses and costs associated with studying (Bills 2012b; Halliday-Wynes &amp; Nguyen 2014). Scholarships have been treated as unanticipated gains and not included in weekly income figures in the above data, to prevent mean income distortions.</w:t>
      </w:r>
    </w:p>
    <w:p w:rsidR="00794FEB" w:rsidRDefault="00794FEB" w:rsidP="00794FEB">
      <w:r>
        <w:t>Scholarships are available from a number of sources including the government, universities, bequeaths through universities, and community-based agencies. The Country Education Foundation of Australia (CEF) has partnered with a number of higher education institutions to provide funding to students moving from rural or remote areas of Australia for study. The amount of funding ranges from book vouchers to help make textbooks more affordable to grants of several thousand dollars.</w:t>
      </w:r>
    </w:p>
    <w:p w:rsidR="00794FEB" w:rsidRDefault="00794FEB" w:rsidP="00794FEB">
      <w:pPr>
        <w:pStyle w:val="Quote"/>
      </w:pPr>
      <w:r>
        <w:t xml:space="preserve">I had to apply for scholarships because with my family I don’t think we would’ve been able to afford it straight out, and also getting help from Centrelink so I could afford to move over and pay board ... so that I could live here, but I was fortunate in that I did get a couple of scholarships. </w:t>
      </w:r>
      <w:r w:rsidRPr="00794FEB">
        <w:rPr>
          <w:i w:val="0"/>
        </w:rPr>
        <w:t>Regina</w:t>
      </w:r>
    </w:p>
    <w:p w:rsidR="00794FEB" w:rsidRDefault="00794FEB" w:rsidP="00794FEB">
      <w:pPr>
        <w:pStyle w:val="Quote"/>
      </w:pPr>
      <w:r>
        <w:t xml:space="preserve">Financially the scholarships really do help ... </w:t>
      </w:r>
      <w:r w:rsidRPr="00794FEB">
        <w:rPr>
          <w:i w:val="0"/>
        </w:rPr>
        <w:t>Harper</w:t>
      </w:r>
    </w:p>
    <w:p w:rsidR="00794FEB" w:rsidRDefault="00794FEB" w:rsidP="00794FEB">
      <w:pPr>
        <w:pStyle w:val="Quote"/>
      </w:pPr>
      <w:r>
        <w:t xml:space="preserve">I get the Relocation Scholarship at the beginning of the year and the Start-up Scholarship at the beginning of the year and then the beginning of second semester which does help a lot. It helps me in being able to afford textbooks and stuff like that ... </w:t>
      </w:r>
      <w:r w:rsidRPr="00794FEB">
        <w:rPr>
          <w:i w:val="0"/>
        </w:rPr>
        <w:t>Lily</w:t>
      </w:r>
    </w:p>
    <w:p w:rsidR="00794FEB" w:rsidRDefault="00794FEB" w:rsidP="00794FEB">
      <w:r>
        <w:t>In response to the Bradley Review, the federal government introduced the Relocation Scholarship in 2010, providing $4000 in the first year and $1000 in later years. In addition, students receiving a Relocation Scholarship were also entitled to a Student Start-up Scholarship valued at $1300 in 2010, increasing to over $2128 in 2011, indexed annually. The scholarship most frequently received by survey respondents was a government scholarship. Interestingly, though the University provides numerous scholarships and grant opportunities for regional students, respondents seemed to not be as well informed about University scholarships available.</w:t>
      </w:r>
      <w:r w:rsidR="00705169">
        <w:br/>
      </w:r>
    </w:p>
    <w:p w:rsidR="00AB12DE" w:rsidRDefault="00AB12DE" w:rsidP="00AB12DE">
      <w:pPr>
        <w:pStyle w:val="FigureTitles"/>
      </w:pPr>
      <w:bookmarkStart w:id="41" w:name="_Toc517270583"/>
      <w:r>
        <w:rPr>
          <w:noProof/>
          <w:lang w:eastAsia="en-AU"/>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5731510" cy="2699385"/>
            <wp:effectExtent l="0" t="0" r="2540" b="5715"/>
            <wp:wrapSquare wrapText="bothSides"/>
            <wp:docPr id="16" name="Picture 16" descr="Bar graph displaying the types of scholarships received by students aged under 25 (shown in percentages), split into relocated and non-relocated."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9.jpg"/>
                    <pic:cNvPicPr/>
                  </pic:nvPicPr>
                  <pic:blipFill>
                    <a:blip r:embed="rId18">
                      <a:extLst>
                        <a:ext uri="{28A0092B-C50C-407E-A947-70E740481C1C}">
                          <a14:useLocalDpi xmlns:a14="http://schemas.microsoft.com/office/drawing/2010/main" val="0"/>
                        </a:ext>
                      </a:extLst>
                    </a:blip>
                    <a:stretch>
                      <a:fillRect/>
                    </a:stretch>
                  </pic:blipFill>
                  <pic:spPr>
                    <a:xfrm>
                      <a:off x="0" y="0"/>
                      <a:ext cx="5731510" cy="2699385"/>
                    </a:xfrm>
                    <a:prstGeom prst="rect">
                      <a:avLst/>
                    </a:prstGeom>
                  </pic:spPr>
                </pic:pic>
              </a:graphicData>
            </a:graphic>
            <wp14:sizeRelH relativeFrom="page">
              <wp14:pctWidth>0</wp14:pctWidth>
            </wp14:sizeRelH>
            <wp14:sizeRelV relativeFrom="page">
              <wp14:pctHeight>0</wp14:pctHeight>
            </wp14:sizeRelV>
          </wp:anchor>
        </w:drawing>
      </w:r>
      <w:r>
        <w:br/>
        <w:t xml:space="preserve">Figure </w:t>
      </w:r>
      <w:fldSimple w:instr=" SEQ Figure \* ARABIC ">
        <w:r w:rsidR="00B00AA1">
          <w:rPr>
            <w:noProof/>
          </w:rPr>
          <w:t>9</w:t>
        </w:r>
      </w:fldSimple>
      <w:r>
        <w:t xml:space="preserve">: </w:t>
      </w:r>
      <w:r w:rsidRPr="00AA6204">
        <w:t>Types of scholarships received by students aged under 25</w:t>
      </w:r>
      <w:bookmarkEnd w:id="41"/>
    </w:p>
    <w:p w:rsidR="00705169" w:rsidRDefault="00705169" w:rsidP="00705169">
      <w:pPr>
        <w:pStyle w:val="Quote"/>
      </w:pPr>
      <w:r>
        <w:t xml:space="preserve">I was eligible for a placement scholarship, but I didn’t know about that until someone told me about it. It wasn’t much it’s going to help … it won’t cover the fuel that I’ll spend going there and from but it’s ... it helps. I don’t know where I would’ve found it otherwise. If I’d tried to do that out of my own pocket I would’ve been in strife. </w:t>
      </w:r>
      <w:r w:rsidRPr="00794FEB">
        <w:rPr>
          <w:i w:val="0"/>
        </w:rPr>
        <w:t>Daniel</w:t>
      </w:r>
    </w:p>
    <w:p w:rsidR="00705169" w:rsidRDefault="00705169" w:rsidP="00705169">
      <w:pPr>
        <w:pStyle w:val="Quote"/>
        <w:rPr>
          <w:i w:val="0"/>
        </w:rPr>
      </w:pPr>
      <w:r>
        <w:t xml:space="preserve">I luckily applied for a scholarship with uni, and I got one of those ... and I didn’t even know about it until somebody told me about it in my class. </w:t>
      </w:r>
      <w:r w:rsidRPr="00794FEB">
        <w:rPr>
          <w:i w:val="0"/>
        </w:rPr>
        <w:t>Willow</w:t>
      </w:r>
    </w:p>
    <w:p w:rsidR="00705169" w:rsidRDefault="00705169" w:rsidP="00705169">
      <w:r>
        <w:t>Respondents indicated that government scholarships provided an estimated annual average value of $3500, University scholarships $2700 and community scholarships $2100. Figure 9 shows that relocating students are more likely to have some form of scholarship than those who did not relocate however the values for scholarships were correspondingly less. For the non-relocating students government scholarships provided an estimated annual average value of $1800, University scholarships $1300 and community scholarship $1250 per annum.</w:t>
      </w:r>
    </w:p>
    <w:p w:rsidR="00E323A5" w:rsidRPr="00257125" w:rsidRDefault="00E323A5" w:rsidP="00E323A5">
      <w:pPr>
        <w:pStyle w:val="FigureTitles"/>
        <w:rPr>
          <w:rFonts w:eastAsia="Calibri"/>
          <w:noProof/>
          <w:sz w:val="24"/>
        </w:rPr>
      </w:pPr>
      <w:r>
        <w:br/>
      </w:r>
      <w:bookmarkStart w:id="42" w:name="_Toc517270584"/>
      <w:r>
        <w:rPr>
          <w:noProof/>
          <w:lang w:eastAsia="en-AU"/>
        </w:rPr>
        <w:drawing>
          <wp:anchor distT="0" distB="0" distL="114300" distR="114300" simplePos="0" relativeHeight="251680768" behindDoc="0" locked="0" layoutInCell="1" allowOverlap="1">
            <wp:simplePos x="0" y="0"/>
            <wp:positionH relativeFrom="column">
              <wp:posOffset>0</wp:posOffset>
            </wp:positionH>
            <wp:positionV relativeFrom="paragraph">
              <wp:posOffset>135436</wp:posOffset>
            </wp:positionV>
            <wp:extent cx="5731510" cy="2997835"/>
            <wp:effectExtent l="0" t="0" r="2540" b="0"/>
            <wp:wrapSquare wrapText="bothSides"/>
            <wp:docPr id="17" name="Picture 17" descr="Bar graph displaying the types of scholarships received by students aged 25 years and over (shown in percentages), split into relocated and non-relocated." title="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10.jpg"/>
                    <pic:cNvPicPr/>
                  </pic:nvPicPr>
                  <pic:blipFill>
                    <a:blip r:embed="rId19">
                      <a:extLst>
                        <a:ext uri="{28A0092B-C50C-407E-A947-70E740481C1C}">
                          <a14:useLocalDpi xmlns:a14="http://schemas.microsoft.com/office/drawing/2010/main" val="0"/>
                        </a:ext>
                      </a:extLst>
                    </a:blip>
                    <a:stretch>
                      <a:fillRect/>
                    </a:stretch>
                  </pic:blipFill>
                  <pic:spPr>
                    <a:xfrm>
                      <a:off x="0" y="0"/>
                      <a:ext cx="5731510" cy="2997835"/>
                    </a:xfrm>
                    <a:prstGeom prst="rect">
                      <a:avLst/>
                    </a:prstGeom>
                  </pic:spPr>
                </pic:pic>
              </a:graphicData>
            </a:graphic>
            <wp14:sizeRelH relativeFrom="page">
              <wp14:pctWidth>0</wp14:pctWidth>
            </wp14:sizeRelH>
            <wp14:sizeRelV relativeFrom="page">
              <wp14:pctHeight>0</wp14:pctHeight>
            </wp14:sizeRelV>
          </wp:anchor>
        </w:drawing>
      </w:r>
      <w:r>
        <w:t xml:space="preserve">Figure </w:t>
      </w:r>
      <w:fldSimple w:instr=" SEQ Figure \* ARABIC ">
        <w:r w:rsidR="00B00AA1">
          <w:rPr>
            <w:noProof/>
          </w:rPr>
          <w:t>10</w:t>
        </w:r>
      </w:fldSimple>
      <w:r>
        <w:t xml:space="preserve">: </w:t>
      </w:r>
      <w:r w:rsidRPr="00D072FA">
        <w:t>Types of scholarships received by students aged 25 years and over</w:t>
      </w:r>
      <w:bookmarkEnd w:id="42"/>
    </w:p>
    <w:p w:rsidR="00E323A5" w:rsidRDefault="00E323A5" w:rsidP="00705169"/>
    <w:p w:rsidR="00E323A5" w:rsidRDefault="00E323A5" w:rsidP="00E323A5">
      <w:r>
        <w:t>For students aged 25 years and over the value of scholarships is higher. Of the students who are aged 25 years and over, 21% receive a government scholarship of approximately $8800, 14% receive a University scholarship of approximately $2300, 3% receive a community scholarship of $4500, and 1% receive a PhD scholarship, valued at an average of $30,000 per annum.</w:t>
      </w:r>
    </w:p>
    <w:p w:rsidR="00E323A5" w:rsidRDefault="00E323A5" w:rsidP="00E323A5">
      <w:pPr>
        <w:pStyle w:val="Heading2"/>
      </w:pPr>
      <w:bookmarkStart w:id="43" w:name="_Toc517270336"/>
      <w:r>
        <w:t>3.5 Expenditure</w:t>
      </w:r>
      <w:bookmarkEnd w:id="43"/>
    </w:p>
    <w:p w:rsidR="00E323A5" w:rsidRDefault="00E323A5" w:rsidP="00E323A5">
      <w:r>
        <w:t xml:space="preserve">As identified in previous studies, accommodation, followed by transport costs, comprise the two largest expenses incurred by university students, with day-to-day expenses being the third largest cost (Halliday-Wynes &amp; Nguyen 2014). The </w:t>
      </w:r>
      <w:r w:rsidRPr="00B3546A">
        <w:rPr>
          <w:i/>
        </w:rPr>
        <w:t>Regional Young People and Youth Allowance: Access to Tertiary Education</w:t>
      </w:r>
      <w:r>
        <w:t xml:space="preserve"> report (Godden 2007) estimated the annual cost for regional students to attend university to be between $15,000 and $20,000, excluding the cost of a privately owned vehicle, with the data in Table 6 for students aged under 25 falling within this same band almost eight years later.</w:t>
      </w:r>
    </w:p>
    <w:p w:rsidR="00E323A5" w:rsidRDefault="00E323A5" w:rsidP="00E323A5">
      <w:r>
        <w:t>This study indicates similar findings to Godden (2007), with weekly student expenditure unrelated to study predominantly divided into rent/mortgage payments, utilities, internet bills, telephone bills, groceries, petrol costs, public transport costs, childcare, insurance and others. Table 6 shows the weekly mean and median expenses for all respondents after removing six outliers from the above data set prior to analysis due to obvious data error; a further 86 respondents had missing expenditure data.</w:t>
      </w:r>
    </w:p>
    <w:p w:rsidR="00E323A5" w:rsidRDefault="00E323A5" w:rsidP="00E323A5">
      <w:r>
        <w:t>Table 6 shows that although overall expenditure between students aged under 25, both relocated and non-relocated, is similar, closer analysis shows that individual costs vary. For relocated students, rent is approximately $50 per week higher than non-relocated, accounting for 57% of their weekly income. In contrast non-relocated students pay lower rent; however the majority of other costs such as groceries, utilities and internet are higher in regional locations. These figures align with competitive economic pressures and costs of living, where generally rental costs are lower in regional locations (ABS 2011b, Median Weekly Rental Payment) and energy costs are higher (National Rural Health Alliance and ACOSS, 2013). However, as noted above, those who do not relocate tend to work longer hours and thus have more disposable income.</w:t>
      </w:r>
    </w:p>
    <w:p w:rsidR="002024C8" w:rsidRDefault="00E323A5" w:rsidP="002024C8">
      <w:r>
        <w:t>Relocated students aged 25 years and over spent an average of $532 per week, in comparison with non-relocated students in that age group, who spent an average of $704 per week. The higher expenditure for non-relocating students reflects the additional costs of dependants or carer responsibilities, with 69% of the non-relocating students having such responsibilities, compared with only 32% of the relocating respondents.</w:t>
      </w:r>
    </w:p>
    <w:p w:rsidR="002024C8" w:rsidRDefault="002024C8" w:rsidP="002024C8"/>
    <w:p w:rsidR="00975324" w:rsidRDefault="00975324" w:rsidP="00975324">
      <w:pPr>
        <w:pStyle w:val="TableTitles"/>
      </w:pPr>
      <w:bookmarkStart w:id="44" w:name="_Toc517270500"/>
      <w:r>
        <w:t xml:space="preserve">Table </w:t>
      </w:r>
      <w:fldSimple w:instr=" SEQ Table \* ARABIC ">
        <w:r w:rsidR="00766065">
          <w:rPr>
            <w:noProof/>
          </w:rPr>
          <w:t>6</w:t>
        </w:r>
      </w:fldSimple>
      <w:r>
        <w:t xml:space="preserve">: </w:t>
      </w:r>
      <w:r w:rsidRPr="007C3630">
        <w:t>Weekly mean and median expenses ($) for all respondents</w:t>
      </w:r>
      <w:bookmarkEnd w:id="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1E0" w:firstRow="1" w:lastRow="1" w:firstColumn="1" w:lastColumn="1" w:noHBand="0" w:noVBand="0"/>
        <w:tblCaption w:val="Table 6"/>
        <w:tblDescription w:val="Table displaying the weekly mean and median expenses ($) for all respondents, split into: Under 25 All, Relocated and Non-relocated; and 25+ All, Relocated and Non-relocated."/>
      </w:tblPr>
      <w:tblGrid>
        <w:gridCol w:w="2411"/>
        <w:gridCol w:w="1103"/>
        <w:gridCol w:w="1102"/>
        <w:gridCol w:w="1102"/>
        <w:gridCol w:w="1102"/>
        <w:gridCol w:w="1102"/>
        <w:gridCol w:w="1099"/>
      </w:tblGrid>
      <w:tr w:rsidR="004B60D1" w:rsidRPr="006A3B93" w:rsidTr="001638CE">
        <w:trPr>
          <w:tblHeader/>
        </w:trPr>
        <w:tc>
          <w:tcPr>
            <w:tcW w:w="1336" w:type="pct"/>
            <w:tcBorders>
              <w:top w:val="nil"/>
              <w:left w:val="nil"/>
              <w:bottom w:val="nil"/>
              <w:right w:val="single" w:sz="4" w:space="0" w:color="auto"/>
            </w:tcBorders>
            <w:shd w:val="clear" w:color="auto" w:fill="auto"/>
          </w:tcPr>
          <w:p w:rsidR="004B60D1" w:rsidRPr="006A3B93" w:rsidRDefault="004B60D1" w:rsidP="001638CE">
            <w:pPr>
              <w:pStyle w:val="TableText"/>
            </w:pPr>
          </w:p>
        </w:tc>
        <w:tc>
          <w:tcPr>
            <w:tcW w:w="611" w:type="pct"/>
            <w:tcBorders>
              <w:top w:val="single" w:sz="4" w:space="0" w:color="auto"/>
              <w:left w:val="single" w:sz="4" w:space="0" w:color="auto"/>
              <w:bottom w:val="single" w:sz="4" w:space="0" w:color="auto"/>
              <w:right w:val="nil"/>
            </w:tcBorders>
            <w:shd w:val="clear" w:color="auto" w:fill="5B9BD5" w:themeFill="accent1"/>
          </w:tcPr>
          <w:p w:rsidR="004B60D1" w:rsidRPr="00595829" w:rsidRDefault="004B60D1" w:rsidP="001638CE">
            <w:pPr>
              <w:pStyle w:val="TableText"/>
              <w:rPr>
                <w:b/>
                <w:color w:val="FFFFFF" w:themeColor="background1"/>
              </w:rPr>
            </w:pPr>
            <w:r w:rsidRPr="00595829">
              <w:rPr>
                <w:b/>
                <w:color w:val="FFFFFF" w:themeColor="background1"/>
              </w:rPr>
              <w:t>Under 25</w:t>
            </w:r>
          </w:p>
        </w:tc>
        <w:tc>
          <w:tcPr>
            <w:tcW w:w="611" w:type="pct"/>
            <w:tcBorders>
              <w:top w:val="single" w:sz="4" w:space="0" w:color="auto"/>
              <w:left w:val="nil"/>
              <w:bottom w:val="single" w:sz="4" w:space="0" w:color="auto"/>
              <w:right w:val="nil"/>
            </w:tcBorders>
            <w:shd w:val="clear" w:color="auto" w:fill="5B9BD5" w:themeFill="accent1"/>
          </w:tcPr>
          <w:p w:rsidR="004B60D1" w:rsidRPr="00595829" w:rsidRDefault="004B60D1" w:rsidP="001638CE">
            <w:pPr>
              <w:pStyle w:val="TableText"/>
              <w:rPr>
                <w:b/>
                <w:color w:val="FFFFFF" w:themeColor="background1"/>
              </w:rPr>
            </w:pPr>
          </w:p>
        </w:tc>
        <w:tc>
          <w:tcPr>
            <w:tcW w:w="611" w:type="pct"/>
            <w:tcBorders>
              <w:top w:val="single" w:sz="4" w:space="0" w:color="auto"/>
              <w:left w:val="nil"/>
              <w:bottom w:val="single" w:sz="4" w:space="0" w:color="auto"/>
              <w:right w:val="single" w:sz="4" w:space="0" w:color="auto"/>
            </w:tcBorders>
            <w:shd w:val="clear" w:color="auto" w:fill="5B9BD5" w:themeFill="accent1"/>
          </w:tcPr>
          <w:p w:rsidR="004B60D1" w:rsidRPr="00595829" w:rsidRDefault="004B60D1" w:rsidP="001638CE">
            <w:pPr>
              <w:pStyle w:val="TableText"/>
              <w:rPr>
                <w:b/>
                <w:color w:val="FFFFFF" w:themeColor="background1"/>
              </w:rPr>
            </w:pPr>
          </w:p>
        </w:tc>
        <w:tc>
          <w:tcPr>
            <w:tcW w:w="611" w:type="pct"/>
            <w:tcBorders>
              <w:top w:val="single" w:sz="4" w:space="0" w:color="auto"/>
              <w:left w:val="single" w:sz="4" w:space="0" w:color="auto"/>
              <w:bottom w:val="single" w:sz="4" w:space="0" w:color="auto"/>
              <w:right w:val="nil"/>
            </w:tcBorders>
            <w:shd w:val="clear" w:color="auto" w:fill="5B9BD5" w:themeFill="accent1"/>
          </w:tcPr>
          <w:p w:rsidR="004B60D1" w:rsidRPr="00595829" w:rsidRDefault="004B60D1" w:rsidP="001638CE">
            <w:pPr>
              <w:pStyle w:val="TableText"/>
              <w:rPr>
                <w:b/>
                <w:color w:val="FFFFFF" w:themeColor="background1"/>
              </w:rPr>
            </w:pPr>
            <w:r w:rsidRPr="00595829">
              <w:rPr>
                <w:b/>
                <w:color w:val="FFFFFF" w:themeColor="background1"/>
              </w:rPr>
              <w:t>25+</w:t>
            </w:r>
          </w:p>
        </w:tc>
        <w:tc>
          <w:tcPr>
            <w:tcW w:w="611" w:type="pct"/>
            <w:tcBorders>
              <w:top w:val="single" w:sz="4" w:space="0" w:color="auto"/>
              <w:left w:val="nil"/>
              <w:bottom w:val="single" w:sz="4" w:space="0" w:color="auto"/>
              <w:right w:val="nil"/>
            </w:tcBorders>
            <w:shd w:val="clear" w:color="auto" w:fill="5B9BD5" w:themeFill="accent1"/>
          </w:tcPr>
          <w:p w:rsidR="004B60D1" w:rsidRPr="00595829" w:rsidRDefault="004B60D1" w:rsidP="001638CE">
            <w:pPr>
              <w:pStyle w:val="TableText"/>
              <w:rPr>
                <w:b/>
                <w:color w:val="FFFFFF" w:themeColor="background1"/>
              </w:rPr>
            </w:pPr>
          </w:p>
        </w:tc>
        <w:tc>
          <w:tcPr>
            <w:tcW w:w="609" w:type="pct"/>
            <w:tcBorders>
              <w:top w:val="single" w:sz="4" w:space="0" w:color="auto"/>
              <w:left w:val="nil"/>
              <w:bottom w:val="single" w:sz="4" w:space="0" w:color="auto"/>
              <w:right w:val="single" w:sz="4" w:space="0" w:color="auto"/>
            </w:tcBorders>
            <w:shd w:val="clear" w:color="auto" w:fill="5B9BD5" w:themeFill="accent1"/>
          </w:tcPr>
          <w:p w:rsidR="004B60D1" w:rsidRPr="00595829" w:rsidRDefault="004B60D1" w:rsidP="001638CE">
            <w:pPr>
              <w:pStyle w:val="TableText"/>
              <w:rPr>
                <w:b/>
                <w:color w:val="FFFFFF" w:themeColor="background1"/>
              </w:rPr>
            </w:pPr>
          </w:p>
        </w:tc>
      </w:tr>
      <w:tr w:rsidR="004B60D1" w:rsidRPr="006A3B93" w:rsidTr="001638CE">
        <w:trPr>
          <w:tblHeader/>
        </w:trPr>
        <w:tc>
          <w:tcPr>
            <w:tcW w:w="1336" w:type="pct"/>
            <w:tcBorders>
              <w:top w:val="nil"/>
              <w:left w:val="nil"/>
              <w:bottom w:val="single" w:sz="4" w:space="0" w:color="auto"/>
              <w:right w:val="single" w:sz="4" w:space="0" w:color="auto"/>
            </w:tcBorders>
            <w:shd w:val="clear" w:color="auto" w:fill="auto"/>
          </w:tcPr>
          <w:p w:rsidR="004B60D1" w:rsidRPr="006A3B93" w:rsidRDefault="004B60D1" w:rsidP="001638CE">
            <w:pPr>
              <w:pStyle w:val="TableText"/>
            </w:pPr>
          </w:p>
        </w:tc>
        <w:tc>
          <w:tcPr>
            <w:tcW w:w="611" w:type="pct"/>
            <w:tcBorders>
              <w:top w:val="single" w:sz="4" w:space="0" w:color="auto"/>
              <w:left w:val="single" w:sz="4" w:space="0" w:color="auto"/>
              <w:bottom w:val="single" w:sz="4" w:space="0" w:color="auto"/>
            </w:tcBorders>
            <w:shd w:val="clear" w:color="auto" w:fill="BDD6EE" w:themeFill="accent1" w:themeFillTint="66"/>
          </w:tcPr>
          <w:p w:rsidR="004B60D1" w:rsidRPr="00595829" w:rsidRDefault="004B60D1" w:rsidP="001638CE">
            <w:pPr>
              <w:pStyle w:val="TableText"/>
              <w:rPr>
                <w:b/>
              </w:rPr>
            </w:pPr>
            <w:r w:rsidRPr="00595829">
              <w:rPr>
                <w:b/>
              </w:rPr>
              <w:t>All</w:t>
            </w:r>
          </w:p>
          <w:p w:rsidR="004B60D1" w:rsidRPr="00595829" w:rsidRDefault="004B60D1" w:rsidP="004B60D1">
            <w:pPr>
              <w:pStyle w:val="TableText"/>
              <w:rPr>
                <w:b/>
              </w:rPr>
            </w:pPr>
            <w:r w:rsidRPr="00595829">
              <w:rPr>
                <w:b/>
              </w:rPr>
              <w:t>N=</w:t>
            </w:r>
            <w:r>
              <w:rPr>
                <w:b/>
              </w:rPr>
              <w:t>314</w:t>
            </w:r>
          </w:p>
        </w:tc>
        <w:tc>
          <w:tcPr>
            <w:tcW w:w="611" w:type="pct"/>
            <w:tcBorders>
              <w:top w:val="single" w:sz="4" w:space="0" w:color="auto"/>
              <w:bottom w:val="single" w:sz="4" w:space="0" w:color="auto"/>
            </w:tcBorders>
            <w:shd w:val="clear" w:color="auto" w:fill="BDD6EE" w:themeFill="accent1" w:themeFillTint="66"/>
          </w:tcPr>
          <w:p w:rsidR="004B60D1" w:rsidRPr="00595829" w:rsidRDefault="004B60D1" w:rsidP="001638CE">
            <w:pPr>
              <w:pStyle w:val="TableText"/>
              <w:rPr>
                <w:b/>
              </w:rPr>
            </w:pPr>
            <w:r w:rsidRPr="00595829">
              <w:rPr>
                <w:b/>
              </w:rPr>
              <w:t>Relocated</w:t>
            </w:r>
          </w:p>
          <w:p w:rsidR="004B60D1" w:rsidRPr="00595829" w:rsidRDefault="004B60D1" w:rsidP="004B60D1">
            <w:pPr>
              <w:pStyle w:val="TableText"/>
              <w:rPr>
                <w:b/>
              </w:rPr>
            </w:pPr>
            <w:r w:rsidRPr="00595829">
              <w:rPr>
                <w:b/>
              </w:rPr>
              <w:t>n=</w:t>
            </w:r>
            <w:r>
              <w:rPr>
                <w:b/>
              </w:rPr>
              <w:t>260</w:t>
            </w:r>
          </w:p>
        </w:tc>
        <w:tc>
          <w:tcPr>
            <w:tcW w:w="611" w:type="pct"/>
            <w:tcBorders>
              <w:top w:val="single" w:sz="4" w:space="0" w:color="auto"/>
              <w:bottom w:val="single" w:sz="4" w:space="0" w:color="auto"/>
            </w:tcBorders>
            <w:shd w:val="clear" w:color="auto" w:fill="BDD6EE" w:themeFill="accent1" w:themeFillTint="66"/>
          </w:tcPr>
          <w:p w:rsidR="004B60D1" w:rsidRPr="00595829" w:rsidRDefault="004B60D1" w:rsidP="001638CE">
            <w:pPr>
              <w:pStyle w:val="TableText"/>
              <w:rPr>
                <w:b/>
              </w:rPr>
            </w:pPr>
            <w:r w:rsidRPr="00595829">
              <w:rPr>
                <w:b/>
              </w:rPr>
              <w:t>Non-</w:t>
            </w:r>
          </w:p>
          <w:p w:rsidR="004B60D1" w:rsidRPr="00595829" w:rsidRDefault="004B60D1" w:rsidP="004B60D1">
            <w:pPr>
              <w:pStyle w:val="TableText"/>
              <w:rPr>
                <w:b/>
              </w:rPr>
            </w:pPr>
            <w:r w:rsidRPr="00595829">
              <w:rPr>
                <w:b/>
              </w:rPr>
              <w:t>relocated n=</w:t>
            </w:r>
            <w:r>
              <w:rPr>
                <w:b/>
              </w:rPr>
              <w:t>54</w:t>
            </w:r>
          </w:p>
        </w:tc>
        <w:tc>
          <w:tcPr>
            <w:tcW w:w="611" w:type="pct"/>
            <w:tcBorders>
              <w:top w:val="single" w:sz="4" w:space="0" w:color="auto"/>
              <w:bottom w:val="single" w:sz="4" w:space="0" w:color="auto"/>
            </w:tcBorders>
            <w:shd w:val="clear" w:color="auto" w:fill="BDD6EE" w:themeFill="accent1" w:themeFillTint="66"/>
          </w:tcPr>
          <w:p w:rsidR="004B60D1" w:rsidRPr="00595829" w:rsidRDefault="004B60D1" w:rsidP="001638CE">
            <w:pPr>
              <w:pStyle w:val="TableText"/>
              <w:rPr>
                <w:b/>
              </w:rPr>
            </w:pPr>
            <w:r w:rsidRPr="00595829">
              <w:rPr>
                <w:b/>
              </w:rPr>
              <w:t>All</w:t>
            </w:r>
          </w:p>
          <w:p w:rsidR="004B60D1" w:rsidRPr="00595829" w:rsidRDefault="004B60D1" w:rsidP="004B60D1">
            <w:pPr>
              <w:pStyle w:val="TableText"/>
              <w:rPr>
                <w:b/>
              </w:rPr>
            </w:pPr>
            <w:r w:rsidRPr="00595829">
              <w:rPr>
                <w:b/>
              </w:rPr>
              <w:t>N=</w:t>
            </w:r>
            <w:r>
              <w:rPr>
                <w:b/>
              </w:rPr>
              <w:t>191</w:t>
            </w:r>
          </w:p>
        </w:tc>
        <w:tc>
          <w:tcPr>
            <w:tcW w:w="611" w:type="pct"/>
            <w:tcBorders>
              <w:top w:val="single" w:sz="4" w:space="0" w:color="auto"/>
              <w:bottom w:val="single" w:sz="4" w:space="0" w:color="auto"/>
            </w:tcBorders>
            <w:shd w:val="clear" w:color="auto" w:fill="BDD6EE" w:themeFill="accent1" w:themeFillTint="66"/>
          </w:tcPr>
          <w:p w:rsidR="004B60D1" w:rsidRPr="00595829" w:rsidRDefault="004B60D1" w:rsidP="001638CE">
            <w:pPr>
              <w:pStyle w:val="TableText"/>
              <w:rPr>
                <w:b/>
              </w:rPr>
            </w:pPr>
            <w:r w:rsidRPr="00595829">
              <w:rPr>
                <w:b/>
              </w:rPr>
              <w:t>Relocated</w:t>
            </w:r>
          </w:p>
          <w:p w:rsidR="004B60D1" w:rsidRPr="00595829" w:rsidRDefault="004B60D1" w:rsidP="001638CE">
            <w:pPr>
              <w:pStyle w:val="TableText"/>
              <w:rPr>
                <w:b/>
              </w:rPr>
            </w:pPr>
            <w:r w:rsidRPr="00595829">
              <w:rPr>
                <w:b/>
              </w:rPr>
              <w:t>n=24</w:t>
            </w:r>
          </w:p>
        </w:tc>
        <w:tc>
          <w:tcPr>
            <w:tcW w:w="609" w:type="pct"/>
            <w:tcBorders>
              <w:top w:val="single" w:sz="4" w:space="0" w:color="auto"/>
              <w:bottom w:val="single" w:sz="4" w:space="0" w:color="auto"/>
            </w:tcBorders>
            <w:shd w:val="clear" w:color="auto" w:fill="BDD6EE" w:themeFill="accent1" w:themeFillTint="66"/>
          </w:tcPr>
          <w:p w:rsidR="004B60D1" w:rsidRPr="00595829" w:rsidRDefault="004B60D1" w:rsidP="001638CE">
            <w:pPr>
              <w:pStyle w:val="TableText"/>
              <w:rPr>
                <w:b/>
              </w:rPr>
            </w:pPr>
            <w:r w:rsidRPr="00595829">
              <w:rPr>
                <w:b/>
              </w:rPr>
              <w:t>Non-</w:t>
            </w:r>
          </w:p>
          <w:p w:rsidR="004B60D1" w:rsidRPr="00595829" w:rsidRDefault="004B60D1" w:rsidP="004B60D1">
            <w:pPr>
              <w:pStyle w:val="TableText"/>
              <w:rPr>
                <w:b/>
              </w:rPr>
            </w:pPr>
            <w:r w:rsidRPr="00595829">
              <w:rPr>
                <w:b/>
              </w:rPr>
              <w:t>relocated n=16</w:t>
            </w:r>
            <w:r>
              <w:rPr>
                <w:b/>
              </w:rPr>
              <w:t>7</w:t>
            </w:r>
          </w:p>
        </w:tc>
      </w:tr>
      <w:tr w:rsidR="004B60D1" w:rsidRPr="00595829" w:rsidTr="001638CE">
        <w:tc>
          <w:tcPr>
            <w:tcW w:w="1336" w:type="pct"/>
            <w:tcBorders>
              <w:top w:val="single" w:sz="4" w:space="0" w:color="auto"/>
              <w:left w:val="single" w:sz="4" w:space="0" w:color="auto"/>
              <w:bottom w:val="single" w:sz="4" w:space="0" w:color="auto"/>
              <w:right w:val="nil"/>
            </w:tcBorders>
            <w:shd w:val="clear" w:color="auto" w:fill="F2F2F2" w:themeFill="background1" w:themeFillShade="F2"/>
          </w:tcPr>
          <w:p w:rsidR="004B60D1" w:rsidRPr="00595829" w:rsidRDefault="004B60D1" w:rsidP="004B60D1">
            <w:pPr>
              <w:pStyle w:val="TableText"/>
              <w:rPr>
                <w:b/>
              </w:rPr>
            </w:pPr>
            <w:r w:rsidRPr="00595829">
              <w:rPr>
                <w:b/>
              </w:rPr>
              <w:t>Total</w:t>
            </w:r>
            <w:r>
              <w:rPr>
                <w:b/>
              </w:rPr>
              <w:t xml:space="preserve"> expenses</w:t>
            </w:r>
          </w:p>
        </w:tc>
        <w:tc>
          <w:tcPr>
            <w:tcW w:w="611" w:type="pct"/>
            <w:tcBorders>
              <w:top w:val="single" w:sz="4" w:space="0" w:color="auto"/>
              <w:left w:val="nil"/>
              <w:bottom w:val="single" w:sz="4" w:space="0" w:color="auto"/>
              <w:right w:val="nil"/>
            </w:tcBorders>
            <w:shd w:val="clear" w:color="auto" w:fill="F2F2F2" w:themeFill="background1" w:themeFillShade="F2"/>
          </w:tcPr>
          <w:p w:rsidR="004B60D1" w:rsidRPr="00595829" w:rsidRDefault="004B60D1" w:rsidP="001638CE">
            <w:pPr>
              <w:pStyle w:val="TableText"/>
            </w:pPr>
          </w:p>
        </w:tc>
        <w:tc>
          <w:tcPr>
            <w:tcW w:w="611" w:type="pct"/>
            <w:tcBorders>
              <w:top w:val="single" w:sz="4" w:space="0" w:color="auto"/>
              <w:left w:val="nil"/>
              <w:bottom w:val="single" w:sz="4" w:space="0" w:color="auto"/>
              <w:right w:val="nil"/>
            </w:tcBorders>
            <w:shd w:val="clear" w:color="auto" w:fill="F2F2F2" w:themeFill="background1" w:themeFillShade="F2"/>
          </w:tcPr>
          <w:p w:rsidR="004B60D1" w:rsidRPr="00595829" w:rsidRDefault="004B60D1" w:rsidP="001638CE">
            <w:pPr>
              <w:pStyle w:val="TableText"/>
            </w:pPr>
          </w:p>
        </w:tc>
        <w:tc>
          <w:tcPr>
            <w:tcW w:w="611" w:type="pct"/>
            <w:tcBorders>
              <w:top w:val="single" w:sz="4" w:space="0" w:color="auto"/>
              <w:left w:val="nil"/>
              <w:bottom w:val="single" w:sz="4" w:space="0" w:color="auto"/>
              <w:right w:val="nil"/>
            </w:tcBorders>
            <w:shd w:val="clear" w:color="auto" w:fill="F2F2F2" w:themeFill="background1" w:themeFillShade="F2"/>
          </w:tcPr>
          <w:p w:rsidR="004B60D1" w:rsidRPr="00595829" w:rsidRDefault="004B60D1" w:rsidP="001638CE">
            <w:pPr>
              <w:pStyle w:val="TableText"/>
            </w:pPr>
          </w:p>
        </w:tc>
        <w:tc>
          <w:tcPr>
            <w:tcW w:w="611" w:type="pct"/>
            <w:tcBorders>
              <w:top w:val="single" w:sz="4" w:space="0" w:color="auto"/>
              <w:left w:val="nil"/>
              <w:bottom w:val="single" w:sz="4" w:space="0" w:color="auto"/>
              <w:right w:val="nil"/>
            </w:tcBorders>
            <w:shd w:val="clear" w:color="auto" w:fill="F2F2F2" w:themeFill="background1" w:themeFillShade="F2"/>
          </w:tcPr>
          <w:p w:rsidR="004B60D1" w:rsidRPr="00595829" w:rsidRDefault="004B60D1" w:rsidP="001638CE">
            <w:pPr>
              <w:pStyle w:val="TableText"/>
            </w:pPr>
          </w:p>
        </w:tc>
        <w:tc>
          <w:tcPr>
            <w:tcW w:w="611" w:type="pct"/>
            <w:tcBorders>
              <w:top w:val="single" w:sz="4" w:space="0" w:color="auto"/>
              <w:left w:val="nil"/>
              <w:bottom w:val="single" w:sz="4" w:space="0" w:color="auto"/>
              <w:right w:val="nil"/>
            </w:tcBorders>
            <w:shd w:val="clear" w:color="auto" w:fill="F2F2F2" w:themeFill="background1" w:themeFillShade="F2"/>
          </w:tcPr>
          <w:p w:rsidR="004B60D1" w:rsidRPr="00595829" w:rsidRDefault="004B60D1" w:rsidP="001638CE">
            <w:pPr>
              <w:pStyle w:val="TableText"/>
            </w:pPr>
          </w:p>
        </w:tc>
        <w:tc>
          <w:tcPr>
            <w:tcW w:w="609" w:type="pct"/>
            <w:tcBorders>
              <w:top w:val="single" w:sz="4" w:space="0" w:color="auto"/>
              <w:left w:val="nil"/>
              <w:bottom w:val="single" w:sz="4" w:space="0" w:color="auto"/>
              <w:right w:val="single" w:sz="4" w:space="0" w:color="auto"/>
            </w:tcBorders>
            <w:shd w:val="clear" w:color="auto" w:fill="F2F2F2" w:themeFill="background1" w:themeFillShade="F2"/>
          </w:tcPr>
          <w:p w:rsidR="004B60D1" w:rsidRPr="00595829" w:rsidRDefault="004B60D1" w:rsidP="001638CE">
            <w:pPr>
              <w:pStyle w:val="TableText"/>
            </w:pPr>
          </w:p>
        </w:tc>
      </w:tr>
      <w:tr w:rsidR="004B60D1" w:rsidRPr="006A3B93" w:rsidTr="001638CE">
        <w:tc>
          <w:tcPr>
            <w:tcW w:w="1336" w:type="pct"/>
            <w:tcBorders>
              <w:top w:val="single" w:sz="4" w:space="0" w:color="auto"/>
            </w:tcBorders>
          </w:tcPr>
          <w:p w:rsidR="004B60D1" w:rsidRPr="006A3B93" w:rsidRDefault="004B60D1" w:rsidP="001638CE">
            <w:pPr>
              <w:pStyle w:val="TableText"/>
            </w:pPr>
            <w:r>
              <w:t>$Mean</w:t>
            </w:r>
          </w:p>
        </w:tc>
        <w:tc>
          <w:tcPr>
            <w:tcW w:w="611" w:type="pct"/>
            <w:tcBorders>
              <w:top w:val="single" w:sz="4" w:space="0" w:color="auto"/>
            </w:tcBorders>
          </w:tcPr>
          <w:p w:rsidR="004B60D1" w:rsidRDefault="004B60D1" w:rsidP="001638CE">
            <w:pPr>
              <w:pStyle w:val="TableText"/>
            </w:pPr>
            <w:r>
              <w:t>353</w:t>
            </w:r>
          </w:p>
        </w:tc>
        <w:tc>
          <w:tcPr>
            <w:tcW w:w="611" w:type="pct"/>
            <w:tcBorders>
              <w:top w:val="single" w:sz="4" w:space="0" w:color="auto"/>
            </w:tcBorders>
          </w:tcPr>
          <w:p w:rsidR="004B60D1" w:rsidRDefault="004B60D1" w:rsidP="001638CE">
            <w:pPr>
              <w:pStyle w:val="TableText"/>
            </w:pPr>
            <w:r>
              <w:t>355</w:t>
            </w:r>
          </w:p>
        </w:tc>
        <w:tc>
          <w:tcPr>
            <w:tcW w:w="611" w:type="pct"/>
            <w:tcBorders>
              <w:top w:val="single" w:sz="4" w:space="0" w:color="auto"/>
            </w:tcBorders>
          </w:tcPr>
          <w:p w:rsidR="004B60D1" w:rsidRDefault="004B60D1" w:rsidP="001638CE">
            <w:pPr>
              <w:pStyle w:val="TableText"/>
            </w:pPr>
            <w:r>
              <w:t>346</w:t>
            </w:r>
          </w:p>
        </w:tc>
        <w:tc>
          <w:tcPr>
            <w:tcW w:w="611" w:type="pct"/>
            <w:tcBorders>
              <w:top w:val="single" w:sz="4" w:space="0" w:color="auto"/>
            </w:tcBorders>
          </w:tcPr>
          <w:p w:rsidR="004B60D1" w:rsidRDefault="004B60D1" w:rsidP="001638CE">
            <w:pPr>
              <w:pStyle w:val="TableText"/>
            </w:pPr>
            <w:r>
              <w:t>638</w:t>
            </w:r>
          </w:p>
        </w:tc>
        <w:tc>
          <w:tcPr>
            <w:tcW w:w="611" w:type="pct"/>
            <w:tcBorders>
              <w:top w:val="single" w:sz="4" w:space="0" w:color="auto"/>
            </w:tcBorders>
          </w:tcPr>
          <w:p w:rsidR="004B60D1" w:rsidRDefault="004B60D1" w:rsidP="001638CE">
            <w:pPr>
              <w:pStyle w:val="TableText"/>
            </w:pPr>
            <w:r>
              <w:t>532</w:t>
            </w:r>
          </w:p>
        </w:tc>
        <w:tc>
          <w:tcPr>
            <w:tcW w:w="609" w:type="pct"/>
            <w:tcBorders>
              <w:top w:val="single" w:sz="4" w:space="0" w:color="auto"/>
            </w:tcBorders>
          </w:tcPr>
          <w:p w:rsidR="004B60D1" w:rsidRDefault="004B60D1" w:rsidP="001638CE">
            <w:pPr>
              <w:pStyle w:val="TableText"/>
            </w:pPr>
            <w:r>
              <w:t>704</w:t>
            </w:r>
          </w:p>
        </w:tc>
      </w:tr>
      <w:tr w:rsidR="004B60D1" w:rsidRPr="006A3B93" w:rsidTr="001638CE">
        <w:tc>
          <w:tcPr>
            <w:tcW w:w="1336" w:type="pct"/>
            <w:tcBorders>
              <w:bottom w:val="single" w:sz="4" w:space="0" w:color="auto"/>
            </w:tcBorders>
          </w:tcPr>
          <w:p w:rsidR="004B60D1" w:rsidRPr="006A3B93" w:rsidRDefault="004B60D1" w:rsidP="001638CE">
            <w:pPr>
              <w:pStyle w:val="TableText"/>
            </w:pPr>
            <w:r w:rsidRPr="006A3B93">
              <w:t>Median</w:t>
            </w:r>
          </w:p>
        </w:tc>
        <w:tc>
          <w:tcPr>
            <w:tcW w:w="611" w:type="pct"/>
            <w:tcBorders>
              <w:bottom w:val="single" w:sz="4" w:space="0" w:color="auto"/>
            </w:tcBorders>
          </w:tcPr>
          <w:p w:rsidR="004B60D1" w:rsidRDefault="004B60D1" w:rsidP="001638CE">
            <w:pPr>
              <w:pStyle w:val="TableText"/>
            </w:pPr>
            <w:r>
              <w:t>325</w:t>
            </w:r>
          </w:p>
        </w:tc>
        <w:tc>
          <w:tcPr>
            <w:tcW w:w="611" w:type="pct"/>
            <w:tcBorders>
              <w:bottom w:val="single" w:sz="4" w:space="0" w:color="auto"/>
            </w:tcBorders>
          </w:tcPr>
          <w:p w:rsidR="004B60D1" w:rsidRDefault="004B60D1" w:rsidP="001638CE">
            <w:pPr>
              <w:pStyle w:val="TableText"/>
            </w:pPr>
            <w:r>
              <w:t>325</w:t>
            </w:r>
          </w:p>
        </w:tc>
        <w:tc>
          <w:tcPr>
            <w:tcW w:w="611" w:type="pct"/>
            <w:tcBorders>
              <w:bottom w:val="single" w:sz="4" w:space="0" w:color="auto"/>
            </w:tcBorders>
          </w:tcPr>
          <w:p w:rsidR="004B60D1" w:rsidRDefault="004B60D1" w:rsidP="001638CE">
            <w:pPr>
              <w:pStyle w:val="TableText"/>
            </w:pPr>
            <w:r>
              <w:t>323</w:t>
            </w:r>
          </w:p>
        </w:tc>
        <w:tc>
          <w:tcPr>
            <w:tcW w:w="611" w:type="pct"/>
            <w:tcBorders>
              <w:bottom w:val="single" w:sz="4" w:space="0" w:color="auto"/>
            </w:tcBorders>
          </w:tcPr>
          <w:p w:rsidR="004B60D1" w:rsidRDefault="004B60D1" w:rsidP="001638CE">
            <w:pPr>
              <w:pStyle w:val="TableText"/>
            </w:pPr>
            <w:r>
              <w:t>660</w:t>
            </w:r>
          </w:p>
        </w:tc>
        <w:tc>
          <w:tcPr>
            <w:tcW w:w="611" w:type="pct"/>
            <w:tcBorders>
              <w:bottom w:val="single" w:sz="4" w:space="0" w:color="auto"/>
            </w:tcBorders>
          </w:tcPr>
          <w:p w:rsidR="004B60D1" w:rsidRDefault="004B60D1" w:rsidP="001638CE">
            <w:pPr>
              <w:pStyle w:val="TableText"/>
            </w:pPr>
            <w:r>
              <w:t>500</w:t>
            </w:r>
          </w:p>
        </w:tc>
        <w:tc>
          <w:tcPr>
            <w:tcW w:w="609" w:type="pct"/>
            <w:tcBorders>
              <w:bottom w:val="single" w:sz="4" w:space="0" w:color="auto"/>
            </w:tcBorders>
          </w:tcPr>
          <w:p w:rsidR="004B60D1" w:rsidRDefault="004B60D1" w:rsidP="001638CE">
            <w:pPr>
              <w:pStyle w:val="TableText"/>
            </w:pPr>
            <w:r>
              <w:t>670</w:t>
            </w:r>
          </w:p>
        </w:tc>
      </w:tr>
      <w:tr w:rsidR="004B60D1" w:rsidRPr="00595829" w:rsidTr="001638CE">
        <w:tc>
          <w:tcPr>
            <w:tcW w:w="1336" w:type="pct"/>
            <w:tcBorders>
              <w:top w:val="single" w:sz="4" w:space="0" w:color="auto"/>
              <w:left w:val="single" w:sz="4" w:space="0" w:color="auto"/>
              <w:bottom w:val="single" w:sz="4" w:space="0" w:color="auto"/>
              <w:right w:val="nil"/>
            </w:tcBorders>
            <w:shd w:val="clear" w:color="auto" w:fill="F2F2F2" w:themeFill="background1" w:themeFillShade="F2"/>
          </w:tcPr>
          <w:p w:rsidR="004B60D1" w:rsidRPr="00595829" w:rsidRDefault="004B60D1" w:rsidP="001638CE">
            <w:pPr>
              <w:pStyle w:val="TableText"/>
              <w:rPr>
                <w:b/>
              </w:rPr>
            </w:pPr>
            <w:r>
              <w:rPr>
                <w:b/>
              </w:rPr>
              <w:t>Rent/mortgage</w:t>
            </w:r>
          </w:p>
        </w:tc>
        <w:tc>
          <w:tcPr>
            <w:tcW w:w="611" w:type="pct"/>
            <w:tcBorders>
              <w:top w:val="single" w:sz="4" w:space="0" w:color="auto"/>
              <w:left w:val="nil"/>
              <w:bottom w:val="single" w:sz="4" w:space="0" w:color="auto"/>
              <w:right w:val="nil"/>
            </w:tcBorders>
            <w:shd w:val="clear" w:color="auto" w:fill="F2F2F2" w:themeFill="background1" w:themeFillShade="F2"/>
          </w:tcPr>
          <w:p w:rsidR="004B60D1" w:rsidRPr="00595829" w:rsidRDefault="004B60D1" w:rsidP="001638CE">
            <w:pPr>
              <w:pStyle w:val="TableText"/>
            </w:pPr>
          </w:p>
        </w:tc>
        <w:tc>
          <w:tcPr>
            <w:tcW w:w="611" w:type="pct"/>
            <w:tcBorders>
              <w:top w:val="single" w:sz="4" w:space="0" w:color="auto"/>
              <w:left w:val="nil"/>
              <w:bottom w:val="single" w:sz="4" w:space="0" w:color="auto"/>
              <w:right w:val="nil"/>
            </w:tcBorders>
            <w:shd w:val="clear" w:color="auto" w:fill="F2F2F2" w:themeFill="background1" w:themeFillShade="F2"/>
          </w:tcPr>
          <w:p w:rsidR="004B60D1" w:rsidRPr="00595829" w:rsidRDefault="004B60D1" w:rsidP="001638CE">
            <w:pPr>
              <w:pStyle w:val="TableText"/>
            </w:pPr>
          </w:p>
        </w:tc>
        <w:tc>
          <w:tcPr>
            <w:tcW w:w="611" w:type="pct"/>
            <w:tcBorders>
              <w:top w:val="single" w:sz="4" w:space="0" w:color="auto"/>
              <w:left w:val="nil"/>
              <w:bottom w:val="single" w:sz="4" w:space="0" w:color="auto"/>
              <w:right w:val="nil"/>
            </w:tcBorders>
            <w:shd w:val="clear" w:color="auto" w:fill="F2F2F2" w:themeFill="background1" w:themeFillShade="F2"/>
          </w:tcPr>
          <w:p w:rsidR="004B60D1" w:rsidRPr="00595829" w:rsidRDefault="004B60D1" w:rsidP="001638CE">
            <w:pPr>
              <w:pStyle w:val="TableText"/>
            </w:pPr>
          </w:p>
        </w:tc>
        <w:tc>
          <w:tcPr>
            <w:tcW w:w="611" w:type="pct"/>
            <w:tcBorders>
              <w:top w:val="single" w:sz="4" w:space="0" w:color="auto"/>
              <w:left w:val="nil"/>
              <w:bottom w:val="single" w:sz="4" w:space="0" w:color="auto"/>
              <w:right w:val="nil"/>
            </w:tcBorders>
            <w:shd w:val="clear" w:color="auto" w:fill="F2F2F2" w:themeFill="background1" w:themeFillShade="F2"/>
          </w:tcPr>
          <w:p w:rsidR="004B60D1" w:rsidRPr="00595829" w:rsidRDefault="004B60D1" w:rsidP="001638CE">
            <w:pPr>
              <w:pStyle w:val="TableText"/>
            </w:pPr>
          </w:p>
        </w:tc>
        <w:tc>
          <w:tcPr>
            <w:tcW w:w="611" w:type="pct"/>
            <w:tcBorders>
              <w:top w:val="single" w:sz="4" w:space="0" w:color="auto"/>
              <w:left w:val="nil"/>
              <w:bottom w:val="single" w:sz="4" w:space="0" w:color="auto"/>
              <w:right w:val="nil"/>
            </w:tcBorders>
            <w:shd w:val="clear" w:color="auto" w:fill="F2F2F2" w:themeFill="background1" w:themeFillShade="F2"/>
          </w:tcPr>
          <w:p w:rsidR="004B60D1" w:rsidRPr="00595829" w:rsidRDefault="004B60D1" w:rsidP="001638CE">
            <w:pPr>
              <w:pStyle w:val="TableText"/>
            </w:pPr>
          </w:p>
        </w:tc>
        <w:tc>
          <w:tcPr>
            <w:tcW w:w="609" w:type="pct"/>
            <w:tcBorders>
              <w:top w:val="single" w:sz="4" w:space="0" w:color="auto"/>
              <w:left w:val="nil"/>
              <w:bottom w:val="single" w:sz="4" w:space="0" w:color="auto"/>
              <w:right w:val="single" w:sz="4" w:space="0" w:color="auto"/>
            </w:tcBorders>
            <w:shd w:val="clear" w:color="auto" w:fill="F2F2F2" w:themeFill="background1" w:themeFillShade="F2"/>
          </w:tcPr>
          <w:p w:rsidR="004B60D1" w:rsidRPr="00595829" w:rsidRDefault="004B60D1" w:rsidP="001638CE">
            <w:pPr>
              <w:pStyle w:val="TableText"/>
            </w:pPr>
          </w:p>
        </w:tc>
      </w:tr>
      <w:tr w:rsidR="004B60D1" w:rsidRPr="006A3B93" w:rsidTr="001638CE">
        <w:tc>
          <w:tcPr>
            <w:tcW w:w="1336" w:type="pct"/>
            <w:tcBorders>
              <w:top w:val="single" w:sz="4" w:space="0" w:color="auto"/>
            </w:tcBorders>
          </w:tcPr>
          <w:p w:rsidR="004B60D1" w:rsidRPr="006A3B93" w:rsidRDefault="004B60D1" w:rsidP="001638CE">
            <w:pPr>
              <w:pStyle w:val="TableText"/>
            </w:pPr>
            <w:r w:rsidRPr="006A3B93">
              <w:t>$Mean</w:t>
            </w:r>
          </w:p>
        </w:tc>
        <w:tc>
          <w:tcPr>
            <w:tcW w:w="611" w:type="pct"/>
            <w:tcBorders>
              <w:top w:val="single" w:sz="4" w:space="0" w:color="auto"/>
            </w:tcBorders>
          </w:tcPr>
          <w:p w:rsidR="004B60D1" w:rsidRPr="006A3B93" w:rsidRDefault="004B60D1" w:rsidP="001638CE">
            <w:pPr>
              <w:pStyle w:val="TableText"/>
            </w:pPr>
          </w:p>
        </w:tc>
        <w:tc>
          <w:tcPr>
            <w:tcW w:w="611" w:type="pct"/>
            <w:tcBorders>
              <w:top w:val="single" w:sz="4" w:space="0" w:color="auto"/>
            </w:tcBorders>
          </w:tcPr>
          <w:p w:rsidR="004B60D1" w:rsidRDefault="004B60D1" w:rsidP="001638CE">
            <w:pPr>
              <w:pStyle w:val="TableText"/>
              <w:rPr>
                <w:sz w:val="19"/>
              </w:rPr>
            </w:pPr>
            <w:r>
              <w:rPr>
                <w:sz w:val="19"/>
              </w:rPr>
              <w:t>194</w:t>
            </w:r>
          </w:p>
        </w:tc>
        <w:tc>
          <w:tcPr>
            <w:tcW w:w="611" w:type="pct"/>
            <w:tcBorders>
              <w:top w:val="single" w:sz="4" w:space="0" w:color="auto"/>
            </w:tcBorders>
          </w:tcPr>
          <w:p w:rsidR="004B60D1" w:rsidRDefault="004B60D1" w:rsidP="001638CE">
            <w:pPr>
              <w:pStyle w:val="TableText"/>
              <w:rPr>
                <w:sz w:val="19"/>
              </w:rPr>
            </w:pPr>
            <w:r>
              <w:rPr>
                <w:sz w:val="19"/>
              </w:rPr>
              <w:t>158</w:t>
            </w:r>
          </w:p>
        </w:tc>
        <w:tc>
          <w:tcPr>
            <w:tcW w:w="611" w:type="pct"/>
            <w:tcBorders>
              <w:top w:val="single" w:sz="4" w:space="0" w:color="auto"/>
            </w:tcBorders>
          </w:tcPr>
          <w:p w:rsidR="004B60D1" w:rsidRDefault="004B60D1" w:rsidP="001638CE">
            <w:pPr>
              <w:pStyle w:val="TableText"/>
              <w:rPr>
                <w:rFonts w:ascii="Times New Roman"/>
              </w:rPr>
            </w:pPr>
          </w:p>
        </w:tc>
        <w:tc>
          <w:tcPr>
            <w:tcW w:w="611" w:type="pct"/>
            <w:tcBorders>
              <w:top w:val="single" w:sz="4" w:space="0" w:color="auto"/>
            </w:tcBorders>
          </w:tcPr>
          <w:p w:rsidR="004B60D1" w:rsidRDefault="004B60D1" w:rsidP="001638CE">
            <w:pPr>
              <w:pStyle w:val="TableText"/>
              <w:rPr>
                <w:sz w:val="19"/>
              </w:rPr>
            </w:pPr>
            <w:r>
              <w:rPr>
                <w:sz w:val="19"/>
              </w:rPr>
              <w:t>249</w:t>
            </w:r>
          </w:p>
        </w:tc>
        <w:tc>
          <w:tcPr>
            <w:tcW w:w="609" w:type="pct"/>
            <w:tcBorders>
              <w:top w:val="single" w:sz="4" w:space="0" w:color="auto"/>
            </w:tcBorders>
          </w:tcPr>
          <w:p w:rsidR="004B60D1" w:rsidRDefault="004B60D1" w:rsidP="001638CE">
            <w:pPr>
              <w:pStyle w:val="TableText"/>
              <w:rPr>
                <w:sz w:val="19"/>
              </w:rPr>
            </w:pPr>
            <w:r>
              <w:rPr>
                <w:sz w:val="19"/>
              </w:rPr>
              <w:t>301</w:t>
            </w:r>
          </w:p>
        </w:tc>
      </w:tr>
      <w:tr w:rsidR="004B60D1" w:rsidRPr="006A3B93" w:rsidTr="001638CE">
        <w:tc>
          <w:tcPr>
            <w:tcW w:w="1336" w:type="pct"/>
            <w:tcBorders>
              <w:bottom w:val="single" w:sz="4" w:space="0" w:color="auto"/>
            </w:tcBorders>
          </w:tcPr>
          <w:p w:rsidR="004B60D1" w:rsidRPr="006A3B93" w:rsidRDefault="004B60D1" w:rsidP="001638CE">
            <w:pPr>
              <w:pStyle w:val="TableText"/>
            </w:pPr>
            <w:r w:rsidRPr="006A3B93">
              <w:t>%</w:t>
            </w:r>
          </w:p>
        </w:tc>
        <w:tc>
          <w:tcPr>
            <w:tcW w:w="611" w:type="pct"/>
            <w:tcBorders>
              <w:bottom w:val="single" w:sz="4" w:space="0" w:color="auto"/>
            </w:tcBorders>
          </w:tcPr>
          <w:p w:rsidR="004B60D1" w:rsidRPr="006A3B93" w:rsidRDefault="004B60D1" w:rsidP="001638CE">
            <w:pPr>
              <w:pStyle w:val="TableText"/>
            </w:pPr>
          </w:p>
        </w:tc>
        <w:tc>
          <w:tcPr>
            <w:tcW w:w="611" w:type="pct"/>
            <w:tcBorders>
              <w:bottom w:val="single" w:sz="4" w:space="0" w:color="auto"/>
            </w:tcBorders>
          </w:tcPr>
          <w:p w:rsidR="004B60D1" w:rsidRDefault="004B60D1" w:rsidP="001638CE">
            <w:pPr>
              <w:pStyle w:val="TableText"/>
              <w:rPr>
                <w:sz w:val="19"/>
              </w:rPr>
            </w:pPr>
            <w:r>
              <w:rPr>
                <w:sz w:val="19"/>
              </w:rPr>
              <w:t>77.7</w:t>
            </w:r>
          </w:p>
        </w:tc>
        <w:tc>
          <w:tcPr>
            <w:tcW w:w="611" w:type="pct"/>
            <w:tcBorders>
              <w:bottom w:val="single" w:sz="4" w:space="0" w:color="auto"/>
            </w:tcBorders>
          </w:tcPr>
          <w:p w:rsidR="004B60D1" w:rsidRDefault="004B60D1" w:rsidP="001638CE">
            <w:pPr>
              <w:pStyle w:val="TableText"/>
              <w:rPr>
                <w:sz w:val="19"/>
              </w:rPr>
            </w:pPr>
            <w:r>
              <w:rPr>
                <w:sz w:val="19"/>
              </w:rPr>
              <w:t>61.1</w:t>
            </w:r>
          </w:p>
        </w:tc>
        <w:tc>
          <w:tcPr>
            <w:tcW w:w="611" w:type="pct"/>
            <w:tcBorders>
              <w:bottom w:val="single" w:sz="4" w:space="0" w:color="auto"/>
            </w:tcBorders>
          </w:tcPr>
          <w:p w:rsidR="004B60D1" w:rsidRDefault="004B60D1" w:rsidP="001638CE">
            <w:pPr>
              <w:pStyle w:val="TableText"/>
              <w:rPr>
                <w:rFonts w:ascii="Times New Roman"/>
              </w:rPr>
            </w:pPr>
          </w:p>
        </w:tc>
        <w:tc>
          <w:tcPr>
            <w:tcW w:w="611" w:type="pct"/>
            <w:tcBorders>
              <w:bottom w:val="single" w:sz="4" w:space="0" w:color="auto"/>
            </w:tcBorders>
          </w:tcPr>
          <w:p w:rsidR="004B60D1" w:rsidRDefault="004B60D1" w:rsidP="001638CE">
            <w:pPr>
              <w:pStyle w:val="TableText"/>
              <w:rPr>
                <w:sz w:val="19"/>
              </w:rPr>
            </w:pPr>
            <w:r>
              <w:rPr>
                <w:sz w:val="19"/>
              </w:rPr>
              <w:t>95.8</w:t>
            </w:r>
          </w:p>
        </w:tc>
        <w:tc>
          <w:tcPr>
            <w:tcW w:w="609" w:type="pct"/>
            <w:tcBorders>
              <w:bottom w:val="single" w:sz="4" w:space="0" w:color="auto"/>
            </w:tcBorders>
          </w:tcPr>
          <w:p w:rsidR="004B60D1" w:rsidRDefault="004B60D1" w:rsidP="001638CE">
            <w:pPr>
              <w:pStyle w:val="TableText"/>
              <w:rPr>
                <w:sz w:val="19"/>
              </w:rPr>
            </w:pPr>
            <w:r>
              <w:rPr>
                <w:sz w:val="19"/>
              </w:rPr>
              <w:t>91.6</w:t>
            </w:r>
          </w:p>
        </w:tc>
      </w:tr>
      <w:tr w:rsidR="004B60D1" w:rsidRPr="00595829" w:rsidTr="001638CE">
        <w:tc>
          <w:tcPr>
            <w:tcW w:w="1336" w:type="pct"/>
            <w:tcBorders>
              <w:top w:val="single" w:sz="4" w:space="0" w:color="auto"/>
              <w:left w:val="single" w:sz="4" w:space="0" w:color="auto"/>
              <w:bottom w:val="single" w:sz="4" w:space="0" w:color="auto"/>
              <w:right w:val="nil"/>
            </w:tcBorders>
            <w:shd w:val="clear" w:color="auto" w:fill="F2F2F2" w:themeFill="background1" w:themeFillShade="F2"/>
          </w:tcPr>
          <w:p w:rsidR="004B60D1" w:rsidRPr="00595829" w:rsidRDefault="004B60D1" w:rsidP="001638CE">
            <w:pPr>
              <w:pStyle w:val="TableText"/>
              <w:rPr>
                <w:b/>
              </w:rPr>
            </w:pPr>
            <w:r>
              <w:rPr>
                <w:b/>
              </w:rPr>
              <w:t>Groceries</w:t>
            </w:r>
          </w:p>
        </w:tc>
        <w:tc>
          <w:tcPr>
            <w:tcW w:w="611" w:type="pct"/>
            <w:tcBorders>
              <w:top w:val="single" w:sz="4" w:space="0" w:color="auto"/>
              <w:left w:val="nil"/>
              <w:bottom w:val="single" w:sz="4" w:space="0" w:color="auto"/>
              <w:right w:val="nil"/>
            </w:tcBorders>
            <w:shd w:val="clear" w:color="auto" w:fill="F2F2F2" w:themeFill="background1" w:themeFillShade="F2"/>
          </w:tcPr>
          <w:p w:rsidR="004B60D1" w:rsidRPr="00595829" w:rsidRDefault="004B60D1" w:rsidP="001638CE">
            <w:pPr>
              <w:pStyle w:val="TableText"/>
            </w:pPr>
          </w:p>
        </w:tc>
        <w:tc>
          <w:tcPr>
            <w:tcW w:w="611" w:type="pct"/>
            <w:tcBorders>
              <w:top w:val="single" w:sz="4" w:space="0" w:color="auto"/>
              <w:left w:val="nil"/>
              <w:bottom w:val="single" w:sz="4" w:space="0" w:color="auto"/>
              <w:right w:val="nil"/>
            </w:tcBorders>
            <w:shd w:val="clear" w:color="auto" w:fill="F2F2F2" w:themeFill="background1" w:themeFillShade="F2"/>
          </w:tcPr>
          <w:p w:rsidR="004B60D1" w:rsidRDefault="004B60D1" w:rsidP="001638CE">
            <w:pPr>
              <w:pStyle w:val="TableText"/>
              <w:rPr>
                <w:sz w:val="19"/>
              </w:rPr>
            </w:pPr>
          </w:p>
        </w:tc>
        <w:tc>
          <w:tcPr>
            <w:tcW w:w="611" w:type="pct"/>
            <w:tcBorders>
              <w:top w:val="single" w:sz="4" w:space="0" w:color="auto"/>
              <w:left w:val="nil"/>
              <w:bottom w:val="single" w:sz="4" w:space="0" w:color="auto"/>
              <w:right w:val="nil"/>
            </w:tcBorders>
            <w:shd w:val="clear" w:color="auto" w:fill="F2F2F2" w:themeFill="background1" w:themeFillShade="F2"/>
          </w:tcPr>
          <w:p w:rsidR="004B60D1" w:rsidRDefault="004B60D1" w:rsidP="001638CE">
            <w:pPr>
              <w:pStyle w:val="TableText"/>
              <w:rPr>
                <w:sz w:val="19"/>
              </w:rPr>
            </w:pPr>
          </w:p>
        </w:tc>
        <w:tc>
          <w:tcPr>
            <w:tcW w:w="611" w:type="pct"/>
            <w:tcBorders>
              <w:top w:val="single" w:sz="4" w:space="0" w:color="auto"/>
              <w:left w:val="nil"/>
              <w:bottom w:val="single" w:sz="4" w:space="0" w:color="auto"/>
              <w:right w:val="nil"/>
            </w:tcBorders>
            <w:shd w:val="clear" w:color="auto" w:fill="F2F2F2" w:themeFill="background1" w:themeFillShade="F2"/>
          </w:tcPr>
          <w:p w:rsidR="004B60D1" w:rsidRDefault="004B60D1" w:rsidP="001638CE">
            <w:pPr>
              <w:pStyle w:val="TableText"/>
              <w:rPr>
                <w:rFonts w:ascii="Times New Roman"/>
              </w:rPr>
            </w:pPr>
          </w:p>
        </w:tc>
        <w:tc>
          <w:tcPr>
            <w:tcW w:w="611" w:type="pct"/>
            <w:tcBorders>
              <w:top w:val="single" w:sz="4" w:space="0" w:color="auto"/>
              <w:left w:val="nil"/>
              <w:bottom w:val="single" w:sz="4" w:space="0" w:color="auto"/>
              <w:right w:val="nil"/>
            </w:tcBorders>
            <w:shd w:val="clear" w:color="auto" w:fill="F2F2F2" w:themeFill="background1" w:themeFillShade="F2"/>
          </w:tcPr>
          <w:p w:rsidR="004B60D1" w:rsidRDefault="004B60D1" w:rsidP="001638CE">
            <w:pPr>
              <w:pStyle w:val="TableText"/>
              <w:rPr>
                <w:sz w:val="19"/>
              </w:rPr>
            </w:pPr>
          </w:p>
        </w:tc>
        <w:tc>
          <w:tcPr>
            <w:tcW w:w="609" w:type="pct"/>
            <w:tcBorders>
              <w:top w:val="single" w:sz="4" w:space="0" w:color="auto"/>
              <w:left w:val="nil"/>
              <w:bottom w:val="single" w:sz="4" w:space="0" w:color="auto"/>
              <w:right w:val="single" w:sz="4" w:space="0" w:color="auto"/>
            </w:tcBorders>
            <w:shd w:val="clear" w:color="auto" w:fill="F2F2F2" w:themeFill="background1" w:themeFillShade="F2"/>
          </w:tcPr>
          <w:p w:rsidR="004B60D1" w:rsidRDefault="004B60D1" w:rsidP="001638CE">
            <w:pPr>
              <w:pStyle w:val="TableText"/>
              <w:rPr>
                <w:sz w:val="19"/>
              </w:rPr>
            </w:pPr>
          </w:p>
        </w:tc>
      </w:tr>
      <w:tr w:rsidR="004B60D1" w:rsidRPr="006A3B93" w:rsidTr="001638CE">
        <w:tc>
          <w:tcPr>
            <w:tcW w:w="1336" w:type="pct"/>
            <w:tcBorders>
              <w:top w:val="single" w:sz="4" w:space="0" w:color="auto"/>
            </w:tcBorders>
          </w:tcPr>
          <w:p w:rsidR="004B60D1" w:rsidRPr="006A3B93" w:rsidRDefault="004B60D1" w:rsidP="001638CE">
            <w:pPr>
              <w:pStyle w:val="TableText"/>
            </w:pPr>
            <w:r w:rsidRPr="006A3B93">
              <w:t>$Mean</w:t>
            </w:r>
          </w:p>
        </w:tc>
        <w:tc>
          <w:tcPr>
            <w:tcW w:w="611" w:type="pct"/>
            <w:tcBorders>
              <w:top w:val="single" w:sz="4" w:space="0" w:color="auto"/>
            </w:tcBorders>
          </w:tcPr>
          <w:p w:rsidR="004B60D1" w:rsidRDefault="004B60D1" w:rsidP="001638CE">
            <w:pPr>
              <w:pStyle w:val="TableText"/>
            </w:pPr>
          </w:p>
        </w:tc>
        <w:tc>
          <w:tcPr>
            <w:tcW w:w="611" w:type="pct"/>
            <w:tcBorders>
              <w:top w:val="single" w:sz="4" w:space="0" w:color="auto"/>
            </w:tcBorders>
          </w:tcPr>
          <w:p w:rsidR="004B60D1" w:rsidRDefault="004B60D1" w:rsidP="001638CE">
            <w:pPr>
              <w:pStyle w:val="TableText"/>
              <w:rPr>
                <w:sz w:val="19"/>
              </w:rPr>
            </w:pPr>
            <w:r>
              <w:rPr>
                <w:sz w:val="19"/>
              </w:rPr>
              <w:t>66</w:t>
            </w:r>
          </w:p>
        </w:tc>
        <w:tc>
          <w:tcPr>
            <w:tcW w:w="611" w:type="pct"/>
            <w:tcBorders>
              <w:top w:val="single" w:sz="4" w:space="0" w:color="auto"/>
            </w:tcBorders>
          </w:tcPr>
          <w:p w:rsidR="004B60D1" w:rsidRDefault="004B60D1" w:rsidP="001638CE">
            <w:pPr>
              <w:pStyle w:val="TableText"/>
              <w:rPr>
                <w:sz w:val="19"/>
              </w:rPr>
            </w:pPr>
            <w:r>
              <w:rPr>
                <w:sz w:val="19"/>
              </w:rPr>
              <w:t>88</w:t>
            </w:r>
          </w:p>
        </w:tc>
        <w:tc>
          <w:tcPr>
            <w:tcW w:w="611" w:type="pct"/>
            <w:tcBorders>
              <w:top w:val="single" w:sz="4" w:space="0" w:color="auto"/>
            </w:tcBorders>
          </w:tcPr>
          <w:p w:rsidR="004B60D1" w:rsidRDefault="004B60D1" w:rsidP="001638CE">
            <w:pPr>
              <w:pStyle w:val="TableText"/>
            </w:pPr>
          </w:p>
        </w:tc>
        <w:tc>
          <w:tcPr>
            <w:tcW w:w="611" w:type="pct"/>
            <w:tcBorders>
              <w:top w:val="single" w:sz="4" w:space="0" w:color="auto"/>
            </w:tcBorders>
          </w:tcPr>
          <w:p w:rsidR="004B60D1" w:rsidRDefault="004B60D1" w:rsidP="001638CE">
            <w:pPr>
              <w:pStyle w:val="TableText"/>
              <w:rPr>
                <w:sz w:val="19"/>
              </w:rPr>
            </w:pPr>
            <w:r>
              <w:rPr>
                <w:sz w:val="19"/>
              </w:rPr>
              <w:t>99</w:t>
            </w:r>
          </w:p>
        </w:tc>
        <w:tc>
          <w:tcPr>
            <w:tcW w:w="609" w:type="pct"/>
            <w:tcBorders>
              <w:top w:val="single" w:sz="4" w:space="0" w:color="auto"/>
            </w:tcBorders>
          </w:tcPr>
          <w:p w:rsidR="004B60D1" w:rsidRDefault="004B60D1" w:rsidP="001638CE">
            <w:pPr>
              <w:pStyle w:val="TableText"/>
              <w:rPr>
                <w:sz w:val="19"/>
              </w:rPr>
            </w:pPr>
            <w:r>
              <w:rPr>
                <w:sz w:val="19"/>
              </w:rPr>
              <w:t>170</w:t>
            </w:r>
          </w:p>
        </w:tc>
      </w:tr>
      <w:tr w:rsidR="004B60D1" w:rsidRPr="006A3B93" w:rsidTr="001638CE">
        <w:tc>
          <w:tcPr>
            <w:tcW w:w="1336" w:type="pct"/>
            <w:tcBorders>
              <w:bottom w:val="single" w:sz="4" w:space="0" w:color="auto"/>
            </w:tcBorders>
          </w:tcPr>
          <w:p w:rsidR="004B60D1" w:rsidRPr="006A3B93" w:rsidRDefault="004B60D1" w:rsidP="001638CE">
            <w:pPr>
              <w:pStyle w:val="TableText"/>
            </w:pPr>
            <w:r w:rsidRPr="006A3B93">
              <w:t>%</w:t>
            </w:r>
          </w:p>
        </w:tc>
        <w:tc>
          <w:tcPr>
            <w:tcW w:w="611" w:type="pct"/>
            <w:tcBorders>
              <w:bottom w:val="single" w:sz="4" w:space="0" w:color="auto"/>
            </w:tcBorders>
          </w:tcPr>
          <w:p w:rsidR="004B60D1" w:rsidRDefault="004B60D1" w:rsidP="001638CE">
            <w:pPr>
              <w:pStyle w:val="TableText"/>
            </w:pPr>
          </w:p>
        </w:tc>
        <w:tc>
          <w:tcPr>
            <w:tcW w:w="611" w:type="pct"/>
            <w:tcBorders>
              <w:bottom w:val="single" w:sz="4" w:space="0" w:color="auto"/>
            </w:tcBorders>
          </w:tcPr>
          <w:p w:rsidR="004B60D1" w:rsidRDefault="004B60D1" w:rsidP="001638CE">
            <w:pPr>
              <w:pStyle w:val="TableText"/>
              <w:rPr>
                <w:sz w:val="19"/>
              </w:rPr>
            </w:pPr>
            <w:r>
              <w:rPr>
                <w:sz w:val="19"/>
              </w:rPr>
              <w:t>77.1</w:t>
            </w:r>
          </w:p>
        </w:tc>
        <w:tc>
          <w:tcPr>
            <w:tcW w:w="611" w:type="pct"/>
            <w:tcBorders>
              <w:bottom w:val="single" w:sz="4" w:space="0" w:color="auto"/>
            </w:tcBorders>
          </w:tcPr>
          <w:p w:rsidR="004B60D1" w:rsidRDefault="004B60D1" w:rsidP="001638CE">
            <w:pPr>
              <w:pStyle w:val="TableText"/>
              <w:rPr>
                <w:sz w:val="19"/>
              </w:rPr>
            </w:pPr>
            <w:r>
              <w:rPr>
                <w:sz w:val="19"/>
              </w:rPr>
              <w:t>87</w:t>
            </w:r>
          </w:p>
        </w:tc>
        <w:tc>
          <w:tcPr>
            <w:tcW w:w="611" w:type="pct"/>
            <w:tcBorders>
              <w:bottom w:val="single" w:sz="4" w:space="0" w:color="auto"/>
            </w:tcBorders>
          </w:tcPr>
          <w:p w:rsidR="004B60D1" w:rsidRDefault="004B60D1" w:rsidP="001638CE">
            <w:pPr>
              <w:pStyle w:val="TableText"/>
            </w:pPr>
          </w:p>
        </w:tc>
        <w:tc>
          <w:tcPr>
            <w:tcW w:w="611" w:type="pct"/>
            <w:tcBorders>
              <w:bottom w:val="single" w:sz="4" w:space="0" w:color="auto"/>
            </w:tcBorders>
          </w:tcPr>
          <w:p w:rsidR="004B60D1" w:rsidRDefault="004B60D1" w:rsidP="001638CE">
            <w:pPr>
              <w:pStyle w:val="TableText"/>
              <w:rPr>
                <w:sz w:val="19"/>
              </w:rPr>
            </w:pPr>
            <w:r>
              <w:rPr>
                <w:sz w:val="19"/>
              </w:rPr>
              <w:t>95.8</w:t>
            </w:r>
          </w:p>
        </w:tc>
        <w:tc>
          <w:tcPr>
            <w:tcW w:w="609" w:type="pct"/>
            <w:tcBorders>
              <w:bottom w:val="single" w:sz="4" w:space="0" w:color="auto"/>
            </w:tcBorders>
          </w:tcPr>
          <w:p w:rsidR="004B60D1" w:rsidRDefault="004B60D1" w:rsidP="001638CE">
            <w:pPr>
              <w:pStyle w:val="TableText"/>
              <w:rPr>
                <w:sz w:val="19"/>
              </w:rPr>
            </w:pPr>
            <w:r>
              <w:rPr>
                <w:sz w:val="19"/>
              </w:rPr>
              <w:t>100</w:t>
            </w:r>
          </w:p>
        </w:tc>
      </w:tr>
      <w:tr w:rsidR="004B60D1" w:rsidRPr="00595829" w:rsidTr="001638CE">
        <w:tc>
          <w:tcPr>
            <w:tcW w:w="1336" w:type="pct"/>
            <w:tcBorders>
              <w:top w:val="single" w:sz="4" w:space="0" w:color="auto"/>
              <w:left w:val="single" w:sz="4" w:space="0" w:color="auto"/>
              <w:bottom w:val="single" w:sz="4" w:space="0" w:color="auto"/>
              <w:right w:val="nil"/>
            </w:tcBorders>
            <w:shd w:val="clear" w:color="auto" w:fill="F2F2F2" w:themeFill="background1" w:themeFillShade="F2"/>
          </w:tcPr>
          <w:p w:rsidR="004B60D1" w:rsidRPr="00595829" w:rsidRDefault="004B60D1" w:rsidP="001638CE">
            <w:pPr>
              <w:pStyle w:val="TableText"/>
              <w:rPr>
                <w:b/>
              </w:rPr>
            </w:pPr>
            <w:r>
              <w:rPr>
                <w:b/>
              </w:rPr>
              <w:t>Utilities</w:t>
            </w:r>
          </w:p>
        </w:tc>
        <w:tc>
          <w:tcPr>
            <w:tcW w:w="611" w:type="pct"/>
            <w:tcBorders>
              <w:top w:val="single" w:sz="4" w:space="0" w:color="auto"/>
              <w:left w:val="nil"/>
              <w:bottom w:val="single" w:sz="4" w:space="0" w:color="auto"/>
              <w:right w:val="nil"/>
            </w:tcBorders>
            <w:shd w:val="clear" w:color="auto" w:fill="F2F2F2" w:themeFill="background1" w:themeFillShade="F2"/>
          </w:tcPr>
          <w:p w:rsidR="004B60D1" w:rsidRPr="00595829" w:rsidRDefault="004B60D1" w:rsidP="001638CE">
            <w:pPr>
              <w:pStyle w:val="TableText"/>
            </w:pPr>
          </w:p>
        </w:tc>
        <w:tc>
          <w:tcPr>
            <w:tcW w:w="611" w:type="pct"/>
            <w:tcBorders>
              <w:top w:val="single" w:sz="4" w:space="0" w:color="auto"/>
              <w:left w:val="nil"/>
              <w:bottom w:val="single" w:sz="4" w:space="0" w:color="auto"/>
              <w:right w:val="nil"/>
            </w:tcBorders>
            <w:shd w:val="clear" w:color="auto" w:fill="F2F2F2" w:themeFill="background1" w:themeFillShade="F2"/>
          </w:tcPr>
          <w:p w:rsidR="004B60D1" w:rsidRPr="00595829" w:rsidRDefault="004B60D1" w:rsidP="001638CE">
            <w:pPr>
              <w:pStyle w:val="TableText"/>
            </w:pPr>
          </w:p>
        </w:tc>
        <w:tc>
          <w:tcPr>
            <w:tcW w:w="611" w:type="pct"/>
            <w:tcBorders>
              <w:top w:val="single" w:sz="4" w:space="0" w:color="auto"/>
              <w:left w:val="nil"/>
              <w:bottom w:val="single" w:sz="4" w:space="0" w:color="auto"/>
              <w:right w:val="nil"/>
            </w:tcBorders>
            <w:shd w:val="clear" w:color="auto" w:fill="F2F2F2" w:themeFill="background1" w:themeFillShade="F2"/>
          </w:tcPr>
          <w:p w:rsidR="004B60D1" w:rsidRPr="00595829" w:rsidRDefault="004B60D1" w:rsidP="001638CE">
            <w:pPr>
              <w:pStyle w:val="TableText"/>
            </w:pPr>
          </w:p>
        </w:tc>
        <w:tc>
          <w:tcPr>
            <w:tcW w:w="611" w:type="pct"/>
            <w:tcBorders>
              <w:top w:val="single" w:sz="4" w:space="0" w:color="auto"/>
              <w:left w:val="nil"/>
              <w:bottom w:val="single" w:sz="4" w:space="0" w:color="auto"/>
              <w:right w:val="nil"/>
            </w:tcBorders>
            <w:shd w:val="clear" w:color="auto" w:fill="F2F2F2" w:themeFill="background1" w:themeFillShade="F2"/>
          </w:tcPr>
          <w:p w:rsidR="004B60D1" w:rsidRPr="00595829" w:rsidRDefault="004B60D1" w:rsidP="001638CE">
            <w:pPr>
              <w:pStyle w:val="TableText"/>
            </w:pPr>
          </w:p>
        </w:tc>
        <w:tc>
          <w:tcPr>
            <w:tcW w:w="611" w:type="pct"/>
            <w:tcBorders>
              <w:top w:val="single" w:sz="4" w:space="0" w:color="auto"/>
              <w:left w:val="nil"/>
              <w:bottom w:val="single" w:sz="4" w:space="0" w:color="auto"/>
              <w:right w:val="nil"/>
            </w:tcBorders>
            <w:shd w:val="clear" w:color="auto" w:fill="F2F2F2" w:themeFill="background1" w:themeFillShade="F2"/>
          </w:tcPr>
          <w:p w:rsidR="004B60D1" w:rsidRPr="00595829" w:rsidRDefault="004B60D1" w:rsidP="001638CE">
            <w:pPr>
              <w:pStyle w:val="TableText"/>
            </w:pPr>
          </w:p>
        </w:tc>
        <w:tc>
          <w:tcPr>
            <w:tcW w:w="609" w:type="pct"/>
            <w:tcBorders>
              <w:top w:val="single" w:sz="4" w:space="0" w:color="auto"/>
              <w:left w:val="nil"/>
              <w:bottom w:val="single" w:sz="4" w:space="0" w:color="auto"/>
              <w:right w:val="single" w:sz="4" w:space="0" w:color="auto"/>
            </w:tcBorders>
            <w:shd w:val="clear" w:color="auto" w:fill="F2F2F2" w:themeFill="background1" w:themeFillShade="F2"/>
          </w:tcPr>
          <w:p w:rsidR="004B60D1" w:rsidRPr="00595829" w:rsidRDefault="004B60D1" w:rsidP="001638CE">
            <w:pPr>
              <w:pStyle w:val="TableText"/>
            </w:pPr>
          </w:p>
        </w:tc>
      </w:tr>
      <w:tr w:rsidR="004B60D1" w:rsidRPr="006A3B93" w:rsidTr="001638CE">
        <w:tc>
          <w:tcPr>
            <w:tcW w:w="1336" w:type="pct"/>
            <w:tcBorders>
              <w:top w:val="single" w:sz="4" w:space="0" w:color="auto"/>
            </w:tcBorders>
          </w:tcPr>
          <w:p w:rsidR="004B60D1" w:rsidRPr="006A3B93" w:rsidRDefault="004B60D1" w:rsidP="001638CE">
            <w:pPr>
              <w:pStyle w:val="TableText"/>
            </w:pPr>
            <w:r w:rsidRPr="006A3B93">
              <w:t>$Mean</w:t>
            </w:r>
          </w:p>
        </w:tc>
        <w:tc>
          <w:tcPr>
            <w:tcW w:w="611" w:type="pct"/>
            <w:tcBorders>
              <w:top w:val="single" w:sz="4" w:space="0" w:color="auto"/>
            </w:tcBorders>
          </w:tcPr>
          <w:p w:rsidR="004B60D1" w:rsidRDefault="004B60D1" w:rsidP="001638CE">
            <w:pPr>
              <w:pStyle w:val="TableText"/>
            </w:pPr>
          </w:p>
        </w:tc>
        <w:tc>
          <w:tcPr>
            <w:tcW w:w="611" w:type="pct"/>
            <w:tcBorders>
              <w:top w:val="single" w:sz="4" w:space="0" w:color="auto"/>
            </w:tcBorders>
          </w:tcPr>
          <w:p w:rsidR="004B60D1" w:rsidRDefault="004B60D1" w:rsidP="001638CE">
            <w:pPr>
              <w:pStyle w:val="TableText"/>
              <w:rPr>
                <w:sz w:val="19"/>
              </w:rPr>
            </w:pPr>
            <w:r>
              <w:rPr>
                <w:sz w:val="19"/>
              </w:rPr>
              <w:t>42</w:t>
            </w:r>
          </w:p>
        </w:tc>
        <w:tc>
          <w:tcPr>
            <w:tcW w:w="611" w:type="pct"/>
            <w:tcBorders>
              <w:top w:val="single" w:sz="4" w:space="0" w:color="auto"/>
            </w:tcBorders>
          </w:tcPr>
          <w:p w:rsidR="004B60D1" w:rsidRDefault="004B60D1" w:rsidP="001638CE">
            <w:pPr>
              <w:pStyle w:val="TableText"/>
              <w:rPr>
                <w:sz w:val="19"/>
              </w:rPr>
            </w:pPr>
            <w:r>
              <w:rPr>
                <w:sz w:val="19"/>
              </w:rPr>
              <w:t>82</w:t>
            </w:r>
          </w:p>
        </w:tc>
        <w:tc>
          <w:tcPr>
            <w:tcW w:w="611" w:type="pct"/>
            <w:tcBorders>
              <w:top w:val="single" w:sz="4" w:space="0" w:color="auto"/>
            </w:tcBorders>
          </w:tcPr>
          <w:p w:rsidR="004B60D1" w:rsidRDefault="004B60D1" w:rsidP="001638CE">
            <w:pPr>
              <w:pStyle w:val="TableText"/>
            </w:pPr>
          </w:p>
        </w:tc>
        <w:tc>
          <w:tcPr>
            <w:tcW w:w="611" w:type="pct"/>
            <w:tcBorders>
              <w:top w:val="single" w:sz="4" w:space="0" w:color="auto"/>
            </w:tcBorders>
          </w:tcPr>
          <w:p w:rsidR="004B60D1" w:rsidRDefault="004B60D1" w:rsidP="001638CE">
            <w:pPr>
              <w:pStyle w:val="TableText"/>
              <w:rPr>
                <w:sz w:val="19"/>
              </w:rPr>
            </w:pPr>
            <w:r>
              <w:rPr>
                <w:sz w:val="19"/>
              </w:rPr>
              <w:t>56</w:t>
            </w:r>
          </w:p>
        </w:tc>
        <w:tc>
          <w:tcPr>
            <w:tcW w:w="609" w:type="pct"/>
            <w:tcBorders>
              <w:top w:val="single" w:sz="4" w:space="0" w:color="auto"/>
            </w:tcBorders>
          </w:tcPr>
          <w:p w:rsidR="004B60D1" w:rsidRDefault="004B60D1" w:rsidP="001638CE">
            <w:pPr>
              <w:pStyle w:val="TableText"/>
              <w:rPr>
                <w:sz w:val="19"/>
              </w:rPr>
            </w:pPr>
            <w:r>
              <w:rPr>
                <w:sz w:val="19"/>
              </w:rPr>
              <w:t>93</w:t>
            </w:r>
          </w:p>
        </w:tc>
      </w:tr>
      <w:tr w:rsidR="004B60D1" w:rsidRPr="006A3B93" w:rsidTr="001638CE">
        <w:tc>
          <w:tcPr>
            <w:tcW w:w="1336" w:type="pct"/>
            <w:tcBorders>
              <w:bottom w:val="single" w:sz="4" w:space="0" w:color="auto"/>
            </w:tcBorders>
          </w:tcPr>
          <w:p w:rsidR="004B60D1" w:rsidRPr="006A3B93" w:rsidRDefault="004B60D1" w:rsidP="001638CE">
            <w:pPr>
              <w:pStyle w:val="TableText"/>
            </w:pPr>
            <w:r w:rsidRPr="006A3B93">
              <w:t>%</w:t>
            </w:r>
          </w:p>
        </w:tc>
        <w:tc>
          <w:tcPr>
            <w:tcW w:w="611" w:type="pct"/>
            <w:tcBorders>
              <w:bottom w:val="single" w:sz="4" w:space="0" w:color="auto"/>
            </w:tcBorders>
          </w:tcPr>
          <w:p w:rsidR="004B60D1" w:rsidRDefault="004B60D1" w:rsidP="001638CE">
            <w:pPr>
              <w:pStyle w:val="TableText"/>
            </w:pPr>
          </w:p>
        </w:tc>
        <w:tc>
          <w:tcPr>
            <w:tcW w:w="611" w:type="pct"/>
            <w:tcBorders>
              <w:bottom w:val="single" w:sz="4" w:space="0" w:color="auto"/>
            </w:tcBorders>
          </w:tcPr>
          <w:p w:rsidR="004B60D1" w:rsidRDefault="00975324" w:rsidP="001638CE">
            <w:pPr>
              <w:pStyle w:val="TableText"/>
              <w:rPr>
                <w:sz w:val="19"/>
              </w:rPr>
            </w:pPr>
            <w:r>
              <w:rPr>
                <w:sz w:val="19"/>
              </w:rPr>
              <w:t>59.2</w:t>
            </w:r>
          </w:p>
        </w:tc>
        <w:tc>
          <w:tcPr>
            <w:tcW w:w="611" w:type="pct"/>
            <w:tcBorders>
              <w:bottom w:val="single" w:sz="4" w:space="0" w:color="auto"/>
            </w:tcBorders>
          </w:tcPr>
          <w:p w:rsidR="004B60D1" w:rsidRDefault="00975324" w:rsidP="001638CE">
            <w:pPr>
              <w:pStyle w:val="TableText"/>
              <w:rPr>
                <w:sz w:val="19"/>
              </w:rPr>
            </w:pPr>
            <w:r>
              <w:rPr>
                <w:sz w:val="19"/>
              </w:rPr>
              <w:t>64.8</w:t>
            </w:r>
          </w:p>
        </w:tc>
        <w:tc>
          <w:tcPr>
            <w:tcW w:w="611" w:type="pct"/>
            <w:tcBorders>
              <w:bottom w:val="single" w:sz="4" w:space="0" w:color="auto"/>
            </w:tcBorders>
          </w:tcPr>
          <w:p w:rsidR="004B60D1" w:rsidRDefault="004B60D1" w:rsidP="001638CE">
            <w:pPr>
              <w:pStyle w:val="TableText"/>
            </w:pPr>
          </w:p>
        </w:tc>
        <w:tc>
          <w:tcPr>
            <w:tcW w:w="611" w:type="pct"/>
            <w:tcBorders>
              <w:bottom w:val="single" w:sz="4" w:space="0" w:color="auto"/>
            </w:tcBorders>
          </w:tcPr>
          <w:p w:rsidR="004B60D1" w:rsidRDefault="00975324" w:rsidP="001638CE">
            <w:pPr>
              <w:pStyle w:val="TableText"/>
              <w:rPr>
                <w:sz w:val="19"/>
              </w:rPr>
            </w:pPr>
            <w:r>
              <w:rPr>
                <w:sz w:val="19"/>
              </w:rPr>
              <w:t>91.7</w:t>
            </w:r>
          </w:p>
        </w:tc>
        <w:tc>
          <w:tcPr>
            <w:tcW w:w="609" w:type="pct"/>
            <w:tcBorders>
              <w:bottom w:val="single" w:sz="4" w:space="0" w:color="auto"/>
            </w:tcBorders>
          </w:tcPr>
          <w:p w:rsidR="004B60D1" w:rsidRDefault="00975324" w:rsidP="001638CE">
            <w:pPr>
              <w:pStyle w:val="TableText"/>
              <w:rPr>
                <w:sz w:val="19"/>
              </w:rPr>
            </w:pPr>
            <w:r>
              <w:rPr>
                <w:sz w:val="19"/>
              </w:rPr>
              <w:t>92.2</w:t>
            </w:r>
          </w:p>
        </w:tc>
      </w:tr>
      <w:tr w:rsidR="004B60D1" w:rsidRPr="00595829" w:rsidTr="001638CE">
        <w:tc>
          <w:tcPr>
            <w:tcW w:w="1336" w:type="pct"/>
            <w:tcBorders>
              <w:top w:val="single" w:sz="4" w:space="0" w:color="auto"/>
              <w:left w:val="single" w:sz="4" w:space="0" w:color="auto"/>
              <w:bottom w:val="single" w:sz="4" w:space="0" w:color="auto"/>
              <w:right w:val="nil"/>
            </w:tcBorders>
            <w:shd w:val="clear" w:color="auto" w:fill="F2F2F2" w:themeFill="background1" w:themeFillShade="F2"/>
          </w:tcPr>
          <w:p w:rsidR="004B60D1" w:rsidRPr="00595829" w:rsidRDefault="004B60D1" w:rsidP="001638CE">
            <w:pPr>
              <w:pStyle w:val="TableText"/>
              <w:rPr>
                <w:b/>
              </w:rPr>
            </w:pPr>
            <w:r>
              <w:rPr>
                <w:b/>
              </w:rPr>
              <w:t>Internet</w:t>
            </w:r>
          </w:p>
        </w:tc>
        <w:tc>
          <w:tcPr>
            <w:tcW w:w="611" w:type="pct"/>
            <w:tcBorders>
              <w:top w:val="single" w:sz="4" w:space="0" w:color="auto"/>
              <w:left w:val="nil"/>
              <w:bottom w:val="single" w:sz="4" w:space="0" w:color="auto"/>
              <w:right w:val="nil"/>
            </w:tcBorders>
            <w:shd w:val="clear" w:color="auto" w:fill="F2F2F2" w:themeFill="background1" w:themeFillShade="F2"/>
          </w:tcPr>
          <w:p w:rsidR="004B60D1" w:rsidRPr="00595829" w:rsidRDefault="004B60D1" w:rsidP="001638CE">
            <w:pPr>
              <w:pStyle w:val="TableText"/>
            </w:pPr>
          </w:p>
        </w:tc>
        <w:tc>
          <w:tcPr>
            <w:tcW w:w="611" w:type="pct"/>
            <w:tcBorders>
              <w:top w:val="single" w:sz="4" w:space="0" w:color="auto"/>
              <w:left w:val="nil"/>
              <w:bottom w:val="single" w:sz="4" w:space="0" w:color="auto"/>
              <w:right w:val="nil"/>
            </w:tcBorders>
            <w:shd w:val="clear" w:color="auto" w:fill="F2F2F2" w:themeFill="background1" w:themeFillShade="F2"/>
          </w:tcPr>
          <w:p w:rsidR="004B60D1" w:rsidRPr="00595829" w:rsidRDefault="004B60D1" w:rsidP="001638CE">
            <w:pPr>
              <w:pStyle w:val="TableText"/>
            </w:pPr>
          </w:p>
        </w:tc>
        <w:tc>
          <w:tcPr>
            <w:tcW w:w="611" w:type="pct"/>
            <w:tcBorders>
              <w:top w:val="single" w:sz="4" w:space="0" w:color="auto"/>
              <w:left w:val="nil"/>
              <w:bottom w:val="single" w:sz="4" w:space="0" w:color="auto"/>
              <w:right w:val="nil"/>
            </w:tcBorders>
            <w:shd w:val="clear" w:color="auto" w:fill="F2F2F2" w:themeFill="background1" w:themeFillShade="F2"/>
          </w:tcPr>
          <w:p w:rsidR="004B60D1" w:rsidRPr="00595829" w:rsidRDefault="004B60D1" w:rsidP="001638CE">
            <w:pPr>
              <w:pStyle w:val="TableText"/>
            </w:pPr>
          </w:p>
        </w:tc>
        <w:tc>
          <w:tcPr>
            <w:tcW w:w="611" w:type="pct"/>
            <w:tcBorders>
              <w:top w:val="single" w:sz="4" w:space="0" w:color="auto"/>
              <w:left w:val="nil"/>
              <w:bottom w:val="single" w:sz="4" w:space="0" w:color="auto"/>
              <w:right w:val="nil"/>
            </w:tcBorders>
            <w:shd w:val="clear" w:color="auto" w:fill="F2F2F2" w:themeFill="background1" w:themeFillShade="F2"/>
          </w:tcPr>
          <w:p w:rsidR="004B60D1" w:rsidRPr="00595829" w:rsidRDefault="004B60D1" w:rsidP="001638CE">
            <w:pPr>
              <w:pStyle w:val="TableText"/>
            </w:pPr>
          </w:p>
        </w:tc>
        <w:tc>
          <w:tcPr>
            <w:tcW w:w="611" w:type="pct"/>
            <w:tcBorders>
              <w:top w:val="single" w:sz="4" w:space="0" w:color="auto"/>
              <w:left w:val="nil"/>
              <w:bottom w:val="single" w:sz="4" w:space="0" w:color="auto"/>
              <w:right w:val="nil"/>
            </w:tcBorders>
            <w:shd w:val="clear" w:color="auto" w:fill="F2F2F2" w:themeFill="background1" w:themeFillShade="F2"/>
          </w:tcPr>
          <w:p w:rsidR="004B60D1" w:rsidRPr="00595829" w:rsidRDefault="004B60D1" w:rsidP="001638CE">
            <w:pPr>
              <w:pStyle w:val="TableText"/>
            </w:pPr>
          </w:p>
        </w:tc>
        <w:tc>
          <w:tcPr>
            <w:tcW w:w="609" w:type="pct"/>
            <w:tcBorders>
              <w:top w:val="single" w:sz="4" w:space="0" w:color="auto"/>
              <w:left w:val="nil"/>
              <w:bottom w:val="single" w:sz="4" w:space="0" w:color="auto"/>
              <w:right w:val="single" w:sz="4" w:space="0" w:color="auto"/>
            </w:tcBorders>
            <w:shd w:val="clear" w:color="auto" w:fill="F2F2F2" w:themeFill="background1" w:themeFillShade="F2"/>
          </w:tcPr>
          <w:p w:rsidR="004B60D1" w:rsidRPr="00595829" w:rsidRDefault="004B60D1" w:rsidP="001638CE">
            <w:pPr>
              <w:pStyle w:val="TableText"/>
            </w:pPr>
          </w:p>
        </w:tc>
      </w:tr>
      <w:tr w:rsidR="004B60D1" w:rsidRPr="006A3B93" w:rsidTr="001638CE">
        <w:tc>
          <w:tcPr>
            <w:tcW w:w="1336" w:type="pct"/>
            <w:tcBorders>
              <w:top w:val="single" w:sz="4" w:space="0" w:color="auto"/>
            </w:tcBorders>
          </w:tcPr>
          <w:p w:rsidR="004B60D1" w:rsidRPr="006A3B93" w:rsidRDefault="004B60D1" w:rsidP="001638CE">
            <w:pPr>
              <w:pStyle w:val="TableText"/>
            </w:pPr>
            <w:r w:rsidRPr="006A3B93">
              <w:t>$Mean</w:t>
            </w:r>
          </w:p>
        </w:tc>
        <w:tc>
          <w:tcPr>
            <w:tcW w:w="611" w:type="pct"/>
            <w:tcBorders>
              <w:top w:val="single" w:sz="4" w:space="0" w:color="auto"/>
            </w:tcBorders>
          </w:tcPr>
          <w:p w:rsidR="004B60D1" w:rsidRPr="006A3B93" w:rsidRDefault="004B60D1" w:rsidP="001638CE">
            <w:pPr>
              <w:pStyle w:val="TableText"/>
            </w:pPr>
          </w:p>
        </w:tc>
        <w:tc>
          <w:tcPr>
            <w:tcW w:w="611" w:type="pct"/>
            <w:tcBorders>
              <w:top w:val="single" w:sz="4" w:space="0" w:color="auto"/>
            </w:tcBorders>
          </w:tcPr>
          <w:p w:rsidR="004B60D1" w:rsidRDefault="00975324" w:rsidP="001638CE">
            <w:pPr>
              <w:pStyle w:val="TableText"/>
              <w:rPr>
                <w:sz w:val="19"/>
              </w:rPr>
            </w:pPr>
            <w:r>
              <w:rPr>
                <w:sz w:val="19"/>
              </w:rPr>
              <w:t>18</w:t>
            </w:r>
          </w:p>
        </w:tc>
        <w:tc>
          <w:tcPr>
            <w:tcW w:w="611" w:type="pct"/>
            <w:tcBorders>
              <w:top w:val="single" w:sz="4" w:space="0" w:color="auto"/>
            </w:tcBorders>
          </w:tcPr>
          <w:p w:rsidR="004B60D1" w:rsidRDefault="00975324" w:rsidP="001638CE">
            <w:pPr>
              <w:pStyle w:val="TableText"/>
              <w:rPr>
                <w:sz w:val="19"/>
              </w:rPr>
            </w:pPr>
            <w:r>
              <w:rPr>
                <w:sz w:val="19"/>
              </w:rPr>
              <w:t>30</w:t>
            </w:r>
          </w:p>
        </w:tc>
        <w:tc>
          <w:tcPr>
            <w:tcW w:w="611" w:type="pct"/>
            <w:tcBorders>
              <w:top w:val="single" w:sz="4" w:space="0" w:color="auto"/>
            </w:tcBorders>
          </w:tcPr>
          <w:p w:rsidR="004B60D1" w:rsidRDefault="004B60D1" w:rsidP="001638CE">
            <w:pPr>
              <w:pStyle w:val="TableText"/>
              <w:rPr>
                <w:rFonts w:ascii="Times New Roman"/>
              </w:rPr>
            </w:pPr>
          </w:p>
        </w:tc>
        <w:tc>
          <w:tcPr>
            <w:tcW w:w="611" w:type="pct"/>
            <w:tcBorders>
              <w:top w:val="single" w:sz="4" w:space="0" w:color="auto"/>
            </w:tcBorders>
          </w:tcPr>
          <w:p w:rsidR="004B60D1" w:rsidRDefault="00975324" w:rsidP="001638CE">
            <w:pPr>
              <w:pStyle w:val="TableText"/>
              <w:rPr>
                <w:sz w:val="19"/>
              </w:rPr>
            </w:pPr>
            <w:r>
              <w:rPr>
                <w:sz w:val="19"/>
              </w:rPr>
              <w:t>26</w:t>
            </w:r>
          </w:p>
        </w:tc>
        <w:tc>
          <w:tcPr>
            <w:tcW w:w="609" w:type="pct"/>
            <w:tcBorders>
              <w:top w:val="single" w:sz="4" w:space="0" w:color="auto"/>
            </w:tcBorders>
          </w:tcPr>
          <w:p w:rsidR="004B60D1" w:rsidRDefault="00975324" w:rsidP="001638CE">
            <w:pPr>
              <w:pStyle w:val="TableText"/>
              <w:rPr>
                <w:sz w:val="19"/>
              </w:rPr>
            </w:pPr>
            <w:r>
              <w:rPr>
                <w:sz w:val="19"/>
              </w:rPr>
              <w:t>28</w:t>
            </w:r>
          </w:p>
        </w:tc>
      </w:tr>
      <w:tr w:rsidR="004B60D1" w:rsidRPr="006A3B93" w:rsidTr="001638CE">
        <w:tc>
          <w:tcPr>
            <w:tcW w:w="1336" w:type="pct"/>
            <w:tcBorders>
              <w:bottom w:val="single" w:sz="4" w:space="0" w:color="auto"/>
            </w:tcBorders>
          </w:tcPr>
          <w:p w:rsidR="004B60D1" w:rsidRPr="006A3B93" w:rsidRDefault="004B60D1" w:rsidP="001638CE">
            <w:pPr>
              <w:pStyle w:val="TableText"/>
            </w:pPr>
            <w:r w:rsidRPr="006A3B93">
              <w:t>%</w:t>
            </w:r>
          </w:p>
        </w:tc>
        <w:tc>
          <w:tcPr>
            <w:tcW w:w="611" w:type="pct"/>
            <w:tcBorders>
              <w:bottom w:val="single" w:sz="4" w:space="0" w:color="auto"/>
            </w:tcBorders>
          </w:tcPr>
          <w:p w:rsidR="004B60D1" w:rsidRPr="006A3B93" w:rsidRDefault="004B60D1" w:rsidP="001638CE">
            <w:pPr>
              <w:pStyle w:val="TableText"/>
            </w:pPr>
          </w:p>
        </w:tc>
        <w:tc>
          <w:tcPr>
            <w:tcW w:w="611" w:type="pct"/>
            <w:tcBorders>
              <w:bottom w:val="single" w:sz="4" w:space="0" w:color="auto"/>
            </w:tcBorders>
          </w:tcPr>
          <w:p w:rsidR="004B60D1" w:rsidRDefault="00975324" w:rsidP="001638CE">
            <w:pPr>
              <w:pStyle w:val="TableText"/>
              <w:rPr>
                <w:sz w:val="19"/>
              </w:rPr>
            </w:pPr>
            <w:r>
              <w:rPr>
                <w:sz w:val="19"/>
              </w:rPr>
              <w:t>60.8</w:t>
            </w:r>
          </w:p>
        </w:tc>
        <w:tc>
          <w:tcPr>
            <w:tcW w:w="611" w:type="pct"/>
            <w:tcBorders>
              <w:bottom w:val="single" w:sz="4" w:space="0" w:color="auto"/>
            </w:tcBorders>
          </w:tcPr>
          <w:p w:rsidR="004B60D1" w:rsidRDefault="00975324" w:rsidP="001638CE">
            <w:pPr>
              <w:pStyle w:val="TableText"/>
              <w:rPr>
                <w:sz w:val="19"/>
              </w:rPr>
            </w:pPr>
            <w:r>
              <w:rPr>
                <w:sz w:val="19"/>
              </w:rPr>
              <w:t>66.7</w:t>
            </w:r>
          </w:p>
        </w:tc>
        <w:tc>
          <w:tcPr>
            <w:tcW w:w="611" w:type="pct"/>
            <w:tcBorders>
              <w:bottom w:val="single" w:sz="4" w:space="0" w:color="auto"/>
            </w:tcBorders>
          </w:tcPr>
          <w:p w:rsidR="004B60D1" w:rsidRDefault="004B60D1" w:rsidP="001638CE">
            <w:pPr>
              <w:pStyle w:val="TableText"/>
              <w:rPr>
                <w:rFonts w:ascii="Times New Roman"/>
              </w:rPr>
            </w:pPr>
          </w:p>
        </w:tc>
        <w:tc>
          <w:tcPr>
            <w:tcW w:w="611" w:type="pct"/>
            <w:tcBorders>
              <w:bottom w:val="single" w:sz="4" w:space="0" w:color="auto"/>
            </w:tcBorders>
          </w:tcPr>
          <w:p w:rsidR="004B60D1" w:rsidRDefault="00975324" w:rsidP="001638CE">
            <w:pPr>
              <w:pStyle w:val="TableText"/>
              <w:rPr>
                <w:sz w:val="19"/>
              </w:rPr>
            </w:pPr>
            <w:r>
              <w:rPr>
                <w:sz w:val="19"/>
              </w:rPr>
              <w:t>79.1</w:t>
            </w:r>
          </w:p>
        </w:tc>
        <w:tc>
          <w:tcPr>
            <w:tcW w:w="609" w:type="pct"/>
            <w:tcBorders>
              <w:bottom w:val="single" w:sz="4" w:space="0" w:color="auto"/>
            </w:tcBorders>
          </w:tcPr>
          <w:p w:rsidR="004B60D1" w:rsidRDefault="00975324" w:rsidP="001638CE">
            <w:pPr>
              <w:pStyle w:val="TableText"/>
              <w:rPr>
                <w:sz w:val="19"/>
              </w:rPr>
            </w:pPr>
            <w:r>
              <w:rPr>
                <w:sz w:val="19"/>
              </w:rPr>
              <w:t>96.4</w:t>
            </w:r>
          </w:p>
        </w:tc>
      </w:tr>
      <w:tr w:rsidR="004B60D1" w:rsidRPr="00595829" w:rsidTr="001638CE">
        <w:tc>
          <w:tcPr>
            <w:tcW w:w="1336" w:type="pct"/>
            <w:tcBorders>
              <w:top w:val="single" w:sz="4" w:space="0" w:color="auto"/>
              <w:left w:val="single" w:sz="4" w:space="0" w:color="auto"/>
              <w:bottom w:val="single" w:sz="4" w:space="0" w:color="auto"/>
              <w:right w:val="nil"/>
            </w:tcBorders>
            <w:shd w:val="clear" w:color="auto" w:fill="F2F2F2" w:themeFill="background1" w:themeFillShade="F2"/>
          </w:tcPr>
          <w:p w:rsidR="004B60D1" w:rsidRPr="00595829" w:rsidRDefault="004B60D1" w:rsidP="001638CE">
            <w:pPr>
              <w:pStyle w:val="TableText"/>
              <w:rPr>
                <w:b/>
              </w:rPr>
            </w:pPr>
            <w:r>
              <w:rPr>
                <w:b/>
              </w:rPr>
              <w:t>Phone</w:t>
            </w:r>
          </w:p>
        </w:tc>
        <w:tc>
          <w:tcPr>
            <w:tcW w:w="611" w:type="pct"/>
            <w:tcBorders>
              <w:top w:val="single" w:sz="4" w:space="0" w:color="auto"/>
              <w:left w:val="nil"/>
              <w:bottom w:val="single" w:sz="4" w:space="0" w:color="auto"/>
              <w:right w:val="nil"/>
            </w:tcBorders>
            <w:shd w:val="clear" w:color="auto" w:fill="F2F2F2" w:themeFill="background1" w:themeFillShade="F2"/>
          </w:tcPr>
          <w:p w:rsidR="004B60D1" w:rsidRPr="00595829" w:rsidRDefault="004B60D1" w:rsidP="001638CE">
            <w:pPr>
              <w:pStyle w:val="TableText"/>
              <w:rPr>
                <w:b/>
              </w:rPr>
            </w:pPr>
          </w:p>
        </w:tc>
        <w:tc>
          <w:tcPr>
            <w:tcW w:w="611" w:type="pct"/>
            <w:tcBorders>
              <w:top w:val="single" w:sz="4" w:space="0" w:color="auto"/>
              <w:left w:val="nil"/>
              <w:bottom w:val="single" w:sz="4" w:space="0" w:color="auto"/>
              <w:right w:val="nil"/>
            </w:tcBorders>
            <w:shd w:val="clear" w:color="auto" w:fill="F2F2F2" w:themeFill="background1" w:themeFillShade="F2"/>
          </w:tcPr>
          <w:p w:rsidR="004B60D1" w:rsidRDefault="004B60D1" w:rsidP="001638CE">
            <w:pPr>
              <w:pStyle w:val="TableText"/>
              <w:rPr>
                <w:sz w:val="19"/>
              </w:rPr>
            </w:pPr>
          </w:p>
        </w:tc>
        <w:tc>
          <w:tcPr>
            <w:tcW w:w="611" w:type="pct"/>
            <w:tcBorders>
              <w:top w:val="single" w:sz="4" w:space="0" w:color="auto"/>
              <w:left w:val="nil"/>
              <w:bottom w:val="single" w:sz="4" w:space="0" w:color="auto"/>
              <w:right w:val="nil"/>
            </w:tcBorders>
            <w:shd w:val="clear" w:color="auto" w:fill="F2F2F2" w:themeFill="background1" w:themeFillShade="F2"/>
          </w:tcPr>
          <w:p w:rsidR="004B60D1" w:rsidRDefault="004B60D1" w:rsidP="001638CE">
            <w:pPr>
              <w:pStyle w:val="TableText"/>
              <w:rPr>
                <w:sz w:val="19"/>
              </w:rPr>
            </w:pPr>
          </w:p>
        </w:tc>
        <w:tc>
          <w:tcPr>
            <w:tcW w:w="611" w:type="pct"/>
            <w:tcBorders>
              <w:top w:val="single" w:sz="4" w:space="0" w:color="auto"/>
              <w:left w:val="nil"/>
              <w:bottom w:val="single" w:sz="4" w:space="0" w:color="auto"/>
              <w:right w:val="nil"/>
            </w:tcBorders>
            <w:shd w:val="clear" w:color="auto" w:fill="F2F2F2" w:themeFill="background1" w:themeFillShade="F2"/>
          </w:tcPr>
          <w:p w:rsidR="004B60D1" w:rsidRDefault="004B60D1" w:rsidP="001638CE">
            <w:pPr>
              <w:pStyle w:val="TableText"/>
              <w:rPr>
                <w:rFonts w:ascii="Times New Roman"/>
              </w:rPr>
            </w:pPr>
          </w:p>
        </w:tc>
        <w:tc>
          <w:tcPr>
            <w:tcW w:w="611" w:type="pct"/>
            <w:tcBorders>
              <w:top w:val="single" w:sz="4" w:space="0" w:color="auto"/>
              <w:left w:val="nil"/>
              <w:bottom w:val="single" w:sz="4" w:space="0" w:color="auto"/>
              <w:right w:val="nil"/>
            </w:tcBorders>
            <w:shd w:val="clear" w:color="auto" w:fill="F2F2F2" w:themeFill="background1" w:themeFillShade="F2"/>
          </w:tcPr>
          <w:p w:rsidR="004B60D1" w:rsidRDefault="004B60D1" w:rsidP="001638CE">
            <w:pPr>
              <w:pStyle w:val="TableText"/>
              <w:rPr>
                <w:sz w:val="19"/>
              </w:rPr>
            </w:pPr>
          </w:p>
        </w:tc>
        <w:tc>
          <w:tcPr>
            <w:tcW w:w="609" w:type="pct"/>
            <w:tcBorders>
              <w:top w:val="single" w:sz="4" w:space="0" w:color="auto"/>
              <w:left w:val="nil"/>
              <w:bottom w:val="single" w:sz="4" w:space="0" w:color="auto"/>
              <w:right w:val="single" w:sz="4" w:space="0" w:color="auto"/>
            </w:tcBorders>
            <w:shd w:val="clear" w:color="auto" w:fill="F2F2F2" w:themeFill="background1" w:themeFillShade="F2"/>
          </w:tcPr>
          <w:p w:rsidR="004B60D1" w:rsidRDefault="004B60D1" w:rsidP="001638CE">
            <w:pPr>
              <w:pStyle w:val="TableText"/>
              <w:rPr>
                <w:sz w:val="19"/>
              </w:rPr>
            </w:pPr>
          </w:p>
        </w:tc>
      </w:tr>
      <w:tr w:rsidR="004B60D1" w:rsidRPr="006A3B93" w:rsidTr="001638CE">
        <w:tc>
          <w:tcPr>
            <w:tcW w:w="1336" w:type="pct"/>
            <w:tcBorders>
              <w:top w:val="single" w:sz="4" w:space="0" w:color="auto"/>
            </w:tcBorders>
          </w:tcPr>
          <w:p w:rsidR="004B60D1" w:rsidRPr="006A3B93" w:rsidRDefault="004B60D1" w:rsidP="001638CE">
            <w:pPr>
              <w:pStyle w:val="TableText"/>
            </w:pPr>
            <w:r w:rsidRPr="006A3B93">
              <w:t>$Mean</w:t>
            </w:r>
          </w:p>
        </w:tc>
        <w:tc>
          <w:tcPr>
            <w:tcW w:w="611" w:type="pct"/>
            <w:tcBorders>
              <w:top w:val="single" w:sz="4" w:space="0" w:color="auto"/>
            </w:tcBorders>
          </w:tcPr>
          <w:p w:rsidR="004B60D1" w:rsidRPr="006A3B93" w:rsidRDefault="004B60D1" w:rsidP="001638CE">
            <w:pPr>
              <w:pStyle w:val="TableText"/>
            </w:pPr>
          </w:p>
        </w:tc>
        <w:tc>
          <w:tcPr>
            <w:tcW w:w="611" w:type="pct"/>
            <w:tcBorders>
              <w:top w:val="single" w:sz="4" w:space="0" w:color="auto"/>
            </w:tcBorders>
          </w:tcPr>
          <w:p w:rsidR="004B60D1" w:rsidRDefault="00975324" w:rsidP="001638CE">
            <w:pPr>
              <w:pStyle w:val="TableText"/>
              <w:rPr>
                <w:sz w:val="19"/>
              </w:rPr>
            </w:pPr>
            <w:r>
              <w:rPr>
                <w:sz w:val="19"/>
              </w:rPr>
              <w:t>25</w:t>
            </w:r>
          </w:p>
        </w:tc>
        <w:tc>
          <w:tcPr>
            <w:tcW w:w="611" w:type="pct"/>
            <w:tcBorders>
              <w:top w:val="single" w:sz="4" w:space="0" w:color="auto"/>
            </w:tcBorders>
          </w:tcPr>
          <w:p w:rsidR="004B60D1" w:rsidRDefault="00975324" w:rsidP="001638CE">
            <w:pPr>
              <w:pStyle w:val="TableText"/>
              <w:rPr>
                <w:sz w:val="19"/>
              </w:rPr>
            </w:pPr>
            <w:r>
              <w:rPr>
                <w:sz w:val="19"/>
              </w:rPr>
              <w:t>30</w:t>
            </w:r>
          </w:p>
        </w:tc>
        <w:tc>
          <w:tcPr>
            <w:tcW w:w="611" w:type="pct"/>
            <w:tcBorders>
              <w:top w:val="single" w:sz="4" w:space="0" w:color="auto"/>
            </w:tcBorders>
          </w:tcPr>
          <w:p w:rsidR="004B60D1" w:rsidRDefault="004B60D1" w:rsidP="001638CE">
            <w:pPr>
              <w:pStyle w:val="TableText"/>
              <w:rPr>
                <w:rFonts w:ascii="Times New Roman"/>
              </w:rPr>
            </w:pPr>
          </w:p>
        </w:tc>
        <w:tc>
          <w:tcPr>
            <w:tcW w:w="611" w:type="pct"/>
            <w:tcBorders>
              <w:top w:val="single" w:sz="4" w:space="0" w:color="auto"/>
            </w:tcBorders>
          </w:tcPr>
          <w:p w:rsidR="004B60D1" w:rsidRDefault="00975324" w:rsidP="001638CE">
            <w:pPr>
              <w:pStyle w:val="TableText"/>
              <w:rPr>
                <w:sz w:val="19"/>
              </w:rPr>
            </w:pPr>
            <w:r>
              <w:rPr>
                <w:sz w:val="19"/>
              </w:rPr>
              <w:t>29</w:t>
            </w:r>
          </w:p>
        </w:tc>
        <w:tc>
          <w:tcPr>
            <w:tcW w:w="609" w:type="pct"/>
            <w:tcBorders>
              <w:top w:val="single" w:sz="4" w:space="0" w:color="auto"/>
            </w:tcBorders>
          </w:tcPr>
          <w:p w:rsidR="004B60D1" w:rsidRDefault="00975324" w:rsidP="001638CE">
            <w:pPr>
              <w:pStyle w:val="TableText"/>
              <w:rPr>
                <w:sz w:val="19"/>
              </w:rPr>
            </w:pPr>
            <w:r>
              <w:rPr>
                <w:sz w:val="19"/>
              </w:rPr>
              <w:t>27</w:t>
            </w:r>
          </w:p>
        </w:tc>
      </w:tr>
      <w:tr w:rsidR="004B60D1" w:rsidRPr="006A3B93" w:rsidTr="001638CE">
        <w:tc>
          <w:tcPr>
            <w:tcW w:w="1336" w:type="pct"/>
            <w:tcBorders>
              <w:bottom w:val="single" w:sz="4" w:space="0" w:color="auto"/>
            </w:tcBorders>
          </w:tcPr>
          <w:p w:rsidR="004B60D1" w:rsidRPr="006A3B93" w:rsidRDefault="004B60D1" w:rsidP="001638CE">
            <w:pPr>
              <w:pStyle w:val="TableText"/>
            </w:pPr>
            <w:r w:rsidRPr="006A3B93">
              <w:t>%</w:t>
            </w:r>
          </w:p>
        </w:tc>
        <w:tc>
          <w:tcPr>
            <w:tcW w:w="611" w:type="pct"/>
            <w:tcBorders>
              <w:bottom w:val="single" w:sz="4" w:space="0" w:color="auto"/>
            </w:tcBorders>
          </w:tcPr>
          <w:p w:rsidR="004B60D1" w:rsidRPr="006A3B93" w:rsidRDefault="004B60D1" w:rsidP="001638CE">
            <w:pPr>
              <w:pStyle w:val="TableText"/>
            </w:pPr>
          </w:p>
        </w:tc>
        <w:tc>
          <w:tcPr>
            <w:tcW w:w="611" w:type="pct"/>
            <w:tcBorders>
              <w:bottom w:val="single" w:sz="4" w:space="0" w:color="auto"/>
            </w:tcBorders>
          </w:tcPr>
          <w:p w:rsidR="004B60D1" w:rsidRDefault="00975324" w:rsidP="001638CE">
            <w:pPr>
              <w:pStyle w:val="TableText"/>
              <w:rPr>
                <w:sz w:val="19"/>
              </w:rPr>
            </w:pPr>
            <w:r>
              <w:rPr>
                <w:sz w:val="19"/>
              </w:rPr>
              <w:t>73.2</w:t>
            </w:r>
          </w:p>
        </w:tc>
        <w:tc>
          <w:tcPr>
            <w:tcW w:w="611" w:type="pct"/>
            <w:tcBorders>
              <w:bottom w:val="single" w:sz="4" w:space="0" w:color="auto"/>
            </w:tcBorders>
          </w:tcPr>
          <w:p w:rsidR="004B60D1" w:rsidRDefault="00975324" w:rsidP="001638CE">
            <w:pPr>
              <w:pStyle w:val="TableText"/>
              <w:rPr>
                <w:sz w:val="19"/>
              </w:rPr>
            </w:pPr>
            <w:r>
              <w:rPr>
                <w:sz w:val="19"/>
              </w:rPr>
              <w:t>90.7</w:t>
            </w:r>
          </w:p>
        </w:tc>
        <w:tc>
          <w:tcPr>
            <w:tcW w:w="611" w:type="pct"/>
            <w:tcBorders>
              <w:bottom w:val="single" w:sz="4" w:space="0" w:color="auto"/>
            </w:tcBorders>
          </w:tcPr>
          <w:p w:rsidR="004B60D1" w:rsidRDefault="004B60D1" w:rsidP="001638CE">
            <w:pPr>
              <w:pStyle w:val="TableText"/>
              <w:rPr>
                <w:rFonts w:ascii="Times New Roman"/>
              </w:rPr>
            </w:pPr>
          </w:p>
        </w:tc>
        <w:tc>
          <w:tcPr>
            <w:tcW w:w="611" w:type="pct"/>
            <w:tcBorders>
              <w:bottom w:val="single" w:sz="4" w:space="0" w:color="auto"/>
            </w:tcBorders>
          </w:tcPr>
          <w:p w:rsidR="004B60D1" w:rsidRDefault="00975324" w:rsidP="001638CE">
            <w:pPr>
              <w:pStyle w:val="TableText"/>
              <w:rPr>
                <w:sz w:val="19"/>
              </w:rPr>
            </w:pPr>
            <w:r>
              <w:rPr>
                <w:sz w:val="19"/>
              </w:rPr>
              <w:t>100</w:t>
            </w:r>
          </w:p>
        </w:tc>
        <w:tc>
          <w:tcPr>
            <w:tcW w:w="609" w:type="pct"/>
            <w:tcBorders>
              <w:bottom w:val="single" w:sz="4" w:space="0" w:color="auto"/>
            </w:tcBorders>
          </w:tcPr>
          <w:p w:rsidR="004B60D1" w:rsidRDefault="00975324" w:rsidP="001638CE">
            <w:pPr>
              <w:pStyle w:val="TableText"/>
              <w:rPr>
                <w:sz w:val="19"/>
              </w:rPr>
            </w:pPr>
            <w:r>
              <w:rPr>
                <w:sz w:val="19"/>
              </w:rPr>
              <w:t>94.6</w:t>
            </w:r>
          </w:p>
        </w:tc>
      </w:tr>
      <w:tr w:rsidR="004B60D1" w:rsidRPr="00595829" w:rsidTr="001638CE">
        <w:tc>
          <w:tcPr>
            <w:tcW w:w="1336" w:type="pct"/>
            <w:tcBorders>
              <w:top w:val="single" w:sz="4" w:space="0" w:color="auto"/>
              <w:left w:val="single" w:sz="4" w:space="0" w:color="auto"/>
              <w:bottom w:val="single" w:sz="4" w:space="0" w:color="auto"/>
              <w:right w:val="nil"/>
            </w:tcBorders>
            <w:shd w:val="clear" w:color="auto" w:fill="F2F2F2" w:themeFill="background1" w:themeFillShade="F2"/>
          </w:tcPr>
          <w:p w:rsidR="004B60D1" w:rsidRPr="00595829" w:rsidRDefault="004B60D1" w:rsidP="001638CE">
            <w:pPr>
              <w:pStyle w:val="TableText"/>
              <w:rPr>
                <w:b/>
              </w:rPr>
            </w:pPr>
            <w:r>
              <w:rPr>
                <w:b/>
              </w:rPr>
              <w:t>Petrol</w:t>
            </w:r>
          </w:p>
        </w:tc>
        <w:tc>
          <w:tcPr>
            <w:tcW w:w="611" w:type="pct"/>
            <w:tcBorders>
              <w:top w:val="single" w:sz="4" w:space="0" w:color="auto"/>
              <w:left w:val="nil"/>
              <w:bottom w:val="single" w:sz="4" w:space="0" w:color="auto"/>
              <w:right w:val="nil"/>
            </w:tcBorders>
            <w:shd w:val="clear" w:color="auto" w:fill="F2F2F2" w:themeFill="background1" w:themeFillShade="F2"/>
          </w:tcPr>
          <w:p w:rsidR="004B60D1" w:rsidRPr="00595829" w:rsidRDefault="004B60D1" w:rsidP="001638CE">
            <w:pPr>
              <w:pStyle w:val="TableText"/>
              <w:rPr>
                <w:b/>
              </w:rPr>
            </w:pPr>
          </w:p>
        </w:tc>
        <w:tc>
          <w:tcPr>
            <w:tcW w:w="611" w:type="pct"/>
            <w:tcBorders>
              <w:top w:val="single" w:sz="4" w:space="0" w:color="auto"/>
              <w:left w:val="nil"/>
              <w:bottom w:val="single" w:sz="4" w:space="0" w:color="auto"/>
              <w:right w:val="nil"/>
            </w:tcBorders>
            <w:shd w:val="clear" w:color="auto" w:fill="F2F2F2" w:themeFill="background1" w:themeFillShade="F2"/>
          </w:tcPr>
          <w:p w:rsidR="004B60D1" w:rsidRDefault="004B60D1" w:rsidP="001638CE">
            <w:pPr>
              <w:pStyle w:val="TableText"/>
              <w:rPr>
                <w:sz w:val="19"/>
              </w:rPr>
            </w:pPr>
          </w:p>
        </w:tc>
        <w:tc>
          <w:tcPr>
            <w:tcW w:w="611" w:type="pct"/>
            <w:tcBorders>
              <w:top w:val="single" w:sz="4" w:space="0" w:color="auto"/>
              <w:left w:val="nil"/>
              <w:bottom w:val="single" w:sz="4" w:space="0" w:color="auto"/>
              <w:right w:val="nil"/>
            </w:tcBorders>
            <w:shd w:val="clear" w:color="auto" w:fill="F2F2F2" w:themeFill="background1" w:themeFillShade="F2"/>
          </w:tcPr>
          <w:p w:rsidR="004B60D1" w:rsidRDefault="004B60D1" w:rsidP="001638CE">
            <w:pPr>
              <w:pStyle w:val="TableText"/>
              <w:rPr>
                <w:sz w:val="19"/>
              </w:rPr>
            </w:pPr>
          </w:p>
        </w:tc>
        <w:tc>
          <w:tcPr>
            <w:tcW w:w="611" w:type="pct"/>
            <w:tcBorders>
              <w:top w:val="single" w:sz="4" w:space="0" w:color="auto"/>
              <w:left w:val="nil"/>
              <w:bottom w:val="single" w:sz="4" w:space="0" w:color="auto"/>
              <w:right w:val="nil"/>
            </w:tcBorders>
            <w:shd w:val="clear" w:color="auto" w:fill="F2F2F2" w:themeFill="background1" w:themeFillShade="F2"/>
          </w:tcPr>
          <w:p w:rsidR="004B60D1" w:rsidRDefault="004B60D1" w:rsidP="001638CE">
            <w:pPr>
              <w:pStyle w:val="TableText"/>
              <w:rPr>
                <w:rFonts w:ascii="Times New Roman"/>
              </w:rPr>
            </w:pPr>
          </w:p>
        </w:tc>
        <w:tc>
          <w:tcPr>
            <w:tcW w:w="611" w:type="pct"/>
            <w:tcBorders>
              <w:top w:val="single" w:sz="4" w:space="0" w:color="auto"/>
              <w:left w:val="nil"/>
              <w:bottom w:val="single" w:sz="4" w:space="0" w:color="auto"/>
              <w:right w:val="nil"/>
            </w:tcBorders>
            <w:shd w:val="clear" w:color="auto" w:fill="F2F2F2" w:themeFill="background1" w:themeFillShade="F2"/>
          </w:tcPr>
          <w:p w:rsidR="004B60D1" w:rsidRDefault="004B60D1" w:rsidP="001638CE">
            <w:pPr>
              <w:pStyle w:val="TableText"/>
              <w:rPr>
                <w:sz w:val="19"/>
              </w:rPr>
            </w:pPr>
          </w:p>
        </w:tc>
        <w:tc>
          <w:tcPr>
            <w:tcW w:w="609" w:type="pct"/>
            <w:tcBorders>
              <w:top w:val="single" w:sz="4" w:space="0" w:color="auto"/>
              <w:left w:val="nil"/>
              <w:bottom w:val="single" w:sz="4" w:space="0" w:color="auto"/>
              <w:right w:val="single" w:sz="4" w:space="0" w:color="auto"/>
            </w:tcBorders>
            <w:shd w:val="clear" w:color="auto" w:fill="F2F2F2" w:themeFill="background1" w:themeFillShade="F2"/>
          </w:tcPr>
          <w:p w:rsidR="004B60D1" w:rsidRDefault="004B60D1" w:rsidP="001638CE">
            <w:pPr>
              <w:pStyle w:val="TableText"/>
              <w:rPr>
                <w:sz w:val="19"/>
              </w:rPr>
            </w:pPr>
          </w:p>
        </w:tc>
      </w:tr>
      <w:tr w:rsidR="004B60D1" w:rsidRPr="006A3B93" w:rsidTr="001638CE">
        <w:tc>
          <w:tcPr>
            <w:tcW w:w="1336" w:type="pct"/>
            <w:tcBorders>
              <w:top w:val="single" w:sz="4" w:space="0" w:color="auto"/>
            </w:tcBorders>
          </w:tcPr>
          <w:p w:rsidR="004B60D1" w:rsidRPr="006A3B93" w:rsidRDefault="004B60D1" w:rsidP="001638CE">
            <w:pPr>
              <w:pStyle w:val="TableText"/>
            </w:pPr>
            <w:r w:rsidRPr="006A3B93">
              <w:t>$Mean</w:t>
            </w:r>
          </w:p>
        </w:tc>
        <w:tc>
          <w:tcPr>
            <w:tcW w:w="611" w:type="pct"/>
            <w:tcBorders>
              <w:top w:val="single" w:sz="4" w:space="0" w:color="auto"/>
            </w:tcBorders>
          </w:tcPr>
          <w:p w:rsidR="004B60D1" w:rsidRPr="006A3B93" w:rsidRDefault="004B60D1" w:rsidP="001638CE">
            <w:pPr>
              <w:pStyle w:val="TableText"/>
            </w:pPr>
          </w:p>
        </w:tc>
        <w:tc>
          <w:tcPr>
            <w:tcW w:w="611" w:type="pct"/>
            <w:tcBorders>
              <w:top w:val="single" w:sz="4" w:space="0" w:color="auto"/>
            </w:tcBorders>
          </w:tcPr>
          <w:p w:rsidR="004B60D1" w:rsidRDefault="00975324" w:rsidP="001638CE">
            <w:pPr>
              <w:pStyle w:val="TableText"/>
              <w:rPr>
                <w:sz w:val="19"/>
              </w:rPr>
            </w:pPr>
            <w:r>
              <w:rPr>
                <w:sz w:val="19"/>
              </w:rPr>
              <w:t>43</w:t>
            </w:r>
          </w:p>
        </w:tc>
        <w:tc>
          <w:tcPr>
            <w:tcW w:w="611" w:type="pct"/>
            <w:tcBorders>
              <w:top w:val="single" w:sz="4" w:space="0" w:color="auto"/>
            </w:tcBorders>
          </w:tcPr>
          <w:p w:rsidR="004B60D1" w:rsidRDefault="00975324" w:rsidP="001638CE">
            <w:pPr>
              <w:pStyle w:val="TableText"/>
              <w:rPr>
                <w:sz w:val="19"/>
              </w:rPr>
            </w:pPr>
            <w:r>
              <w:rPr>
                <w:sz w:val="19"/>
              </w:rPr>
              <w:t>52</w:t>
            </w:r>
          </w:p>
        </w:tc>
        <w:tc>
          <w:tcPr>
            <w:tcW w:w="611" w:type="pct"/>
            <w:tcBorders>
              <w:top w:val="single" w:sz="4" w:space="0" w:color="auto"/>
            </w:tcBorders>
          </w:tcPr>
          <w:p w:rsidR="004B60D1" w:rsidRDefault="004B60D1" w:rsidP="001638CE">
            <w:pPr>
              <w:pStyle w:val="TableText"/>
              <w:rPr>
                <w:rFonts w:ascii="Times New Roman"/>
              </w:rPr>
            </w:pPr>
          </w:p>
        </w:tc>
        <w:tc>
          <w:tcPr>
            <w:tcW w:w="611" w:type="pct"/>
            <w:tcBorders>
              <w:top w:val="single" w:sz="4" w:space="0" w:color="auto"/>
            </w:tcBorders>
          </w:tcPr>
          <w:p w:rsidR="004B60D1" w:rsidRDefault="00975324" w:rsidP="001638CE">
            <w:pPr>
              <w:pStyle w:val="TableText"/>
              <w:rPr>
                <w:sz w:val="19"/>
              </w:rPr>
            </w:pPr>
            <w:r>
              <w:rPr>
                <w:sz w:val="19"/>
              </w:rPr>
              <w:t>42</w:t>
            </w:r>
          </w:p>
        </w:tc>
        <w:tc>
          <w:tcPr>
            <w:tcW w:w="609" w:type="pct"/>
            <w:tcBorders>
              <w:top w:val="single" w:sz="4" w:space="0" w:color="auto"/>
            </w:tcBorders>
          </w:tcPr>
          <w:p w:rsidR="004B60D1" w:rsidRDefault="00975324" w:rsidP="001638CE">
            <w:pPr>
              <w:pStyle w:val="TableText"/>
              <w:rPr>
                <w:sz w:val="19"/>
              </w:rPr>
            </w:pPr>
            <w:r>
              <w:rPr>
                <w:sz w:val="19"/>
              </w:rPr>
              <w:t>65</w:t>
            </w:r>
          </w:p>
        </w:tc>
      </w:tr>
      <w:tr w:rsidR="004B60D1" w:rsidRPr="006A3B93" w:rsidTr="004B60D1">
        <w:tc>
          <w:tcPr>
            <w:tcW w:w="1336" w:type="pct"/>
            <w:tcBorders>
              <w:bottom w:val="single" w:sz="8" w:space="0" w:color="auto"/>
            </w:tcBorders>
          </w:tcPr>
          <w:p w:rsidR="004B60D1" w:rsidRPr="006A3B93" w:rsidRDefault="004B60D1" w:rsidP="001638CE">
            <w:pPr>
              <w:pStyle w:val="TableText"/>
            </w:pPr>
            <w:r w:rsidRPr="006A3B93">
              <w:t>%</w:t>
            </w:r>
          </w:p>
        </w:tc>
        <w:tc>
          <w:tcPr>
            <w:tcW w:w="611" w:type="pct"/>
            <w:tcBorders>
              <w:bottom w:val="single" w:sz="8" w:space="0" w:color="auto"/>
            </w:tcBorders>
          </w:tcPr>
          <w:p w:rsidR="004B60D1" w:rsidRPr="006A3B93" w:rsidRDefault="004B60D1" w:rsidP="001638CE">
            <w:pPr>
              <w:pStyle w:val="TableText"/>
            </w:pPr>
          </w:p>
        </w:tc>
        <w:tc>
          <w:tcPr>
            <w:tcW w:w="611" w:type="pct"/>
            <w:tcBorders>
              <w:bottom w:val="single" w:sz="8" w:space="0" w:color="auto"/>
            </w:tcBorders>
          </w:tcPr>
          <w:p w:rsidR="004B60D1" w:rsidRDefault="00975324" w:rsidP="001638CE">
            <w:pPr>
              <w:pStyle w:val="TableText"/>
              <w:rPr>
                <w:sz w:val="19"/>
              </w:rPr>
            </w:pPr>
            <w:r>
              <w:rPr>
                <w:sz w:val="19"/>
              </w:rPr>
              <w:t>61.8</w:t>
            </w:r>
          </w:p>
        </w:tc>
        <w:tc>
          <w:tcPr>
            <w:tcW w:w="611" w:type="pct"/>
            <w:tcBorders>
              <w:bottom w:val="single" w:sz="8" w:space="0" w:color="auto"/>
            </w:tcBorders>
          </w:tcPr>
          <w:p w:rsidR="004B60D1" w:rsidRDefault="00975324" w:rsidP="001638CE">
            <w:pPr>
              <w:pStyle w:val="TableText"/>
              <w:rPr>
                <w:sz w:val="19"/>
              </w:rPr>
            </w:pPr>
            <w:r>
              <w:rPr>
                <w:sz w:val="19"/>
              </w:rPr>
              <w:t>92.6</w:t>
            </w:r>
          </w:p>
        </w:tc>
        <w:tc>
          <w:tcPr>
            <w:tcW w:w="611" w:type="pct"/>
            <w:tcBorders>
              <w:bottom w:val="single" w:sz="8" w:space="0" w:color="auto"/>
            </w:tcBorders>
          </w:tcPr>
          <w:p w:rsidR="004B60D1" w:rsidRDefault="004B60D1" w:rsidP="001638CE">
            <w:pPr>
              <w:pStyle w:val="TableText"/>
              <w:rPr>
                <w:rFonts w:ascii="Times New Roman"/>
              </w:rPr>
            </w:pPr>
          </w:p>
        </w:tc>
        <w:tc>
          <w:tcPr>
            <w:tcW w:w="611" w:type="pct"/>
            <w:tcBorders>
              <w:bottom w:val="single" w:sz="8" w:space="0" w:color="auto"/>
            </w:tcBorders>
          </w:tcPr>
          <w:p w:rsidR="004B60D1" w:rsidRDefault="00975324" w:rsidP="001638CE">
            <w:pPr>
              <w:pStyle w:val="TableText"/>
              <w:rPr>
                <w:sz w:val="19"/>
              </w:rPr>
            </w:pPr>
            <w:r>
              <w:rPr>
                <w:sz w:val="19"/>
              </w:rPr>
              <w:t>91.7</w:t>
            </w:r>
          </w:p>
        </w:tc>
        <w:tc>
          <w:tcPr>
            <w:tcW w:w="609" w:type="pct"/>
            <w:tcBorders>
              <w:bottom w:val="single" w:sz="8" w:space="0" w:color="auto"/>
            </w:tcBorders>
          </w:tcPr>
          <w:p w:rsidR="004B60D1" w:rsidRDefault="00975324" w:rsidP="001638CE">
            <w:pPr>
              <w:pStyle w:val="TableText"/>
              <w:rPr>
                <w:sz w:val="19"/>
              </w:rPr>
            </w:pPr>
            <w:r>
              <w:rPr>
                <w:sz w:val="19"/>
              </w:rPr>
              <w:t>97.6</w:t>
            </w:r>
          </w:p>
        </w:tc>
      </w:tr>
      <w:tr w:rsidR="004B60D1" w:rsidRPr="004B60D1" w:rsidTr="004B60D1">
        <w:tc>
          <w:tcPr>
            <w:tcW w:w="1336" w:type="pct"/>
            <w:tcBorders>
              <w:top w:val="single" w:sz="8" w:space="0" w:color="auto"/>
              <w:left w:val="single" w:sz="8" w:space="0" w:color="auto"/>
              <w:bottom w:val="single" w:sz="8" w:space="0" w:color="auto"/>
              <w:right w:val="nil"/>
            </w:tcBorders>
            <w:shd w:val="clear" w:color="auto" w:fill="F2F2F2" w:themeFill="background1" w:themeFillShade="F2"/>
          </w:tcPr>
          <w:p w:rsidR="004B60D1" w:rsidRPr="004B60D1" w:rsidRDefault="004B60D1" w:rsidP="001638CE">
            <w:pPr>
              <w:pStyle w:val="TableText"/>
              <w:rPr>
                <w:b/>
              </w:rPr>
            </w:pPr>
            <w:r w:rsidRPr="004B60D1">
              <w:rPr>
                <w:b/>
              </w:rPr>
              <w:t>Public transport tickets</w:t>
            </w:r>
          </w:p>
        </w:tc>
        <w:tc>
          <w:tcPr>
            <w:tcW w:w="611" w:type="pct"/>
            <w:tcBorders>
              <w:top w:val="single" w:sz="8" w:space="0" w:color="auto"/>
              <w:left w:val="nil"/>
              <w:bottom w:val="single" w:sz="8" w:space="0" w:color="auto"/>
              <w:right w:val="nil"/>
            </w:tcBorders>
            <w:shd w:val="clear" w:color="auto" w:fill="F2F2F2" w:themeFill="background1" w:themeFillShade="F2"/>
          </w:tcPr>
          <w:p w:rsidR="004B60D1" w:rsidRPr="004B60D1" w:rsidRDefault="004B60D1" w:rsidP="001638CE">
            <w:pPr>
              <w:pStyle w:val="TableText"/>
              <w:rPr>
                <w:b/>
              </w:rPr>
            </w:pPr>
          </w:p>
        </w:tc>
        <w:tc>
          <w:tcPr>
            <w:tcW w:w="611" w:type="pct"/>
            <w:tcBorders>
              <w:top w:val="single" w:sz="8" w:space="0" w:color="auto"/>
              <w:left w:val="nil"/>
              <w:bottom w:val="single" w:sz="8" w:space="0" w:color="auto"/>
              <w:right w:val="nil"/>
            </w:tcBorders>
            <w:shd w:val="clear" w:color="auto" w:fill="F2F2F2" w:themeFill="background1" w:themeFillShade="F2"/>
          </w:tcPr>
          <w:p w:rsidR="004B60D1" w:rsidRPr="004B60D1" w:rsidRDefault="004B60D1" w:rsidP="001638CE">
            <w:pPr>
              <w:pStyle w:val="TableText"/>
              <w:rPr>
                <w:b/>
                <w:w w:val="105"/>
                <w:sz w:val="19"/>
              </w:rPr>
            </w:pPr>
          </w:p>
        </w:tc>
        <w:tc>
          <w:tcPr>
            <w:tcW w:w="611" w:type="pct"/>
            <w:tcBorders>
              <w:top w:val="single" w:sz="8" w:space="0" w:color="auto"/>
              <w:left w:val="nil"/>
              <w:bottom w:val="single" w:sz="8" w:space="0" w:color="auto"/>
              <w:right w:val="nil"/>
            </w:tcBorders>
            <w:shd w:val="clear" w:color="auto" w:fill="F2F2F2" w:themeFill="background1" w:themeFillShade="F2"/>
          </w:tcPr>
          <w:p w:rsidR="004B60D1" w:rsidRPr="004B60D1" w:rsidRDefault="004B60D1" w:rsidP="001638CE">
            <w:pPr>
              <w:pStyle w:val="TableText"/>
              <w:rPr>
                <w:b/>
                <w:w w:val="105"/>
                <w:sz w:val="19"/>
              </w:rPr>
            </w:pPr>
          </w:p>
        </w:tc>
        <w:tc>
          <w:tcPr>
            <w:tcW w:w="611" w:type="pct"/>
            <w:tcBorders>
              <w:top w:val="single" w:sz="8" w:space="0" w:color="auto"/>
              <w:left w:val="nil"/>
              <w:bottom w:val="single" w:sz="8" w:space="0" w:color="auto"/>
              <w:right w:val="nil"/>
            </w:tcBorders>
            <w:shd w:val="clear" w:color="auto" w:fill="F2F2F2" w:themeFill="background1" w:themeFillShade="F2"/>
          </w:tcPr>
          <w:p w:rsidR="004B60D1" w:rsidRPr="004B60D1" w:rsidRDefault="004B60D1" w:rsidP="001638CE">
            <w:pPr>
              <w:pStyle w:val="TableText"/>
              <w:rPr>
                <w:rFonts w:ascii="Times New Roman"/>
                <w:b/>
              </w:rPr>
            </w:pPr>
          </w:p>
        </w:tc>
        <w:tc>
          <w:tcPr>
            <w:tcW w:w="611" w:type="pct"/>
            <w:tcBorders>
              <w:top w:val="single" w:sz="8" w:space="0" w:color="auto"/>
              <w:left w:val="nil"/>
              <w:bottom w:val="single" w:sz="8" w:space="0" w:color="auto"/>
              <w:right w:val="nil"/>
            </w:tcBorders>
            <w:shd w:val="clear" w:color="auto" w:fill="F2F2F2" w:themeFill="background1" w:themeFillShade="F2"/>
          </w:tcPr>
          <w:p w:rsidR="004B60D1" w:rsidRPr="004B60D1" w:rsidRDefault="004B60D1" w:rsidP="001638CE">
            <w:pPr>
              <w:pStyle w:val="TableText"/>
              <w:rPr>
                <w:b/>
                <w:w w:val="105"/>
                <w:sz w:val="19"/>
              </w:rPr>
            </w:pPr>
          </w:p>
        </w:tc>
        <w:tc>
          <w:tcPr>
            <w:tcW w:w="609" w:type="pct"/>
            <w:tcBorders>
              <w:top w:val="single" w:sz="8" w:space="0" w:color="auto"/>
              <w:left w:val="nil"/>
              <w:bottom w:val="single" w:sz="8" w:space="0" w:color="auto"/>
              <w:right w:val="single" w:sz="8" w:space="0" w:color="auto"/>
            </w:tcBorders>
            <w:shd w:val="clear" w:color="auto" w:fill="F2F2F2" w:themeFill="background1" w:themeFillShade="F2"/>
          </w:tcPr>
          <w:p w:rsidR="004B60D1" w:rsidRPr="004B60D1" w:rsidRDefault="004B60D1" w:rsidP="001638CE">
            <w:pPr>
              <w:pStyle w:val="TableText"/>
              <w:rPr>
                <w:b/>
                <w:w w:val="105"/>
                <w:sz w:val="19"/>
              </w:rPr>
            </w:pPr>
          </w:p>
        </w:tc>
      </w:tr>
      <w:tr w:rsidR="004B60D1" w:rsidRPr="006A3B93" w:rsidTr="004B60D1">
        <w:tc>
          <w:tcPr>
            <w:tcW w:w="1336" w:type="pct"/>
            <w:tcBorders>
              <w:top w:val="single" w:sz="8" w:space="0" w:color="auto"/>
            </w:tcBorders>
          </w:tcPr>
          <w:p w:rsidR="004B60D1" w:rsidRPr="006A3B93" w:rsidRDefault="004B60D1" w:rsidP="004B60D1">
            <w:pPr>
              <w:pStyle w:val="TableText"/>
            </w:pPr>
            <w:r w:rsidRPr="006A3B93">
              <w:t>$Mean</w:t>
            </w:r>
          </w:p>
        </w:tc>
        <w:tc>
          <w:tcPr>
            <w:tcW w:w="611" w:type="pct"/>
            <w:tcBorders>
              <w:top w:val="single" w:sz="8" w:space="0" w:color="auto"/>
            </w:tcBorders>
          </w:tcPr>
          <w:p w:rsidR="004B60D1" w:rsidRPr="006A3B93" w:rsidRDefault="004B60D1" w:rsidP="004B60D1">
            <w:pPr>
              <w:pStyle w:val="TableText"/>
            </w:pPr>
          </w:p>
        </w:tc>
        <w:tc>
          <w:tcPr>
            <w:tcW w:w="611" w:type="pct"/>
            <w:tcBorders>
              <w:top w:val="single" w:sz="8" w:space="0" w:color="auto"/>
            </w:tcBorders>
          </w:tcPr>
          <w:p w:rsidR="004B60D1" w:rsidRDefault="00975324" w:rsidP="004B60D1">
            <w:pPr>
              <w:pStyle w:val="TableText"/>
              <w:rPr>
                <w:w w:val="105"/>
                <w:sz w:val="19"/>
              </w:rPr>
            </w:pPr>
            <w:r>
              <w:rPr>
                <w:w w:val="105"/>
                <w:sz w:val="19"/>
              </w:rPr>
              <w:t>14</w:t>
            </w:r>
          </w:p>
        </w:tc>
        <w:tc>
          <w:tcPr>
            <w:tcW w:w="611" w:type="pct"/>
            <w:tcBorders>
              <w:top w:val="single" w:sz="8" w:space="0" w:color="auto"/>
            </w:tcBorders>
          </w:tcPr>
          <w:p w:rsidR="004B60D1" w:rsidRDefault="00975324" w:rsidP="004B60D1">
            <w:pPr>
              <w:pStyle w:val="TableText"/>
              <w:rPr>
                <w:w w:val="105"/>
                <w:sz w:val="19"/>
              </w:rPr>
            </w:pPr>
            <w:r>
              <w:rPr>
                <w:w w:val="105"/>
                <w:sz w:val="19"/>
              </w:rPr>
              <w:t>15</w:t>
            </w:r>
          </w:p>
        </w:tc>
        <w:tc>
          <w:tcPr>
            <w:tcW w:w="611" w:type="pct"/>
            <w:tcBorders>
              <w:top w:val="single" w:sz="8" w:space="0" w:color="auto"/>
            </w:tcBorders>
          </w:tcPr>
          <w:p w:rsidR="004B60D1" w:rsidRDefault="004B60D1" w:rsidP="004B60D1">
            <w:pPr>
              <w:pStyle w:val="TableText"/>
              <w:rPr>
                <w:rFonts w:ascii="Times New Roman"/>
              </w:rPr>
            </w:pPr>
          </w:p>
        </w:tc>
        <w:tc>
          <w:tcPr>
            <w:tcW w:w="611" w:type="pct"/>
            <w:tcBorders>
              <w:top w:val="single" w:sz="8" w:space="0" w:color="auto"/>
            </w:tcBorders>
          </w:tcPr>
          <w:p w:rsidR="004B60D1" w:rsidRDefault="00975324" w:rsidP="004B60D1">
            <w:pPr>
              <w:pStyle w:val="TableText"/>
              <w:rPr>
                <w:w w:val="105"/>
                <w:sz w:val="19"/>
              </w:rPr>
            </w:pPr>
            <w:r>
              <w:rPr>
                <w:w w:val="105"/>
                <w:sz w:val="19"/>
              </w:rPr>
              <w:t>13</w:t>
            </w:r>
          </w:p>
        </w:tc>
        <w:tc>
          <w:tcPr>
            <w:tcW w:w="609" w:type="pct"/>
            <w:tcBorders>
              <w:top w:val="single" w:sz="8" w:space="0" w:color="auto"/>
            </w:tcBorders>
          </w:tcPr>
          <w:p w:rsidR="004B60D1" w:rsidRDefault="00975324" w:rsidP="004B60D1">
            <w:pPr>
              <w:pStyle w:val="TableText"/>
              <w:rPr>
                <w:w w:val="105"/>
                <w:sz w:val="19"/>
              </w:rPr>
            </w:pPr>
            <w:r>
              <w:rPr>
                <w:w w:val="105"/>
                <w:sz w:val="19"/>
              </w:rPr>
              <w:t>15</w:t>
            </w:r>
          </w:p>
        </w:tc>
      </w:tr>
      <w:tr w:rsidR="004B60D1" w:rsidRPr="006A3B93" w:rsidTr="004B60D1">
        <w:tc>
          <w:tcPr>
            <w:tcW w:w="1336" w:type="pct"/>
            <w:tcBorders>
              <w:bottom w:val="single" w:sz="8" w:space="0" w:color="auto"/>
            </w:tcBorders>
          </w:tcPr>
          <w:p w:rsidR="004B60D1" w:rsidRPr="006A3B93" w:rsidRDefault="004B60D1" w:rsidP="004B60D1">
            <w:pPr>
              <w:pStyle w:val="TableText"/>
            </w:pPr>
            <w:r w:rsidRPr="006A3B93">
              <w:t>%</w:t>
            </w:r>
          </w:p>
        </w:tc>
        <w:tc>
          <w:tcPr>
            <w:tcW w:w="611" w:type="pct"/>
            <w:tcBorders>
              <w:bottom w:val="single" w:sz="8" w:space="0" w:color="auto"/>
            </w:tcBorders>
          </w:tcPr>
          <w:p w:rsidR="004B60D1" w:rsidRPr="006A3B93" w:rsidRDefault="004B60D1" w:rsidP="004B60D1">
            <w:pPr>
              <w:pStyle w:val="TableText"/>
            </w:pPr>
          </w:p>
        </w:tc>
        <w:tc>
          <w:tcPr>
            <w:tcW w:w="611" w:type="pct"/>
            <w:tcBorders>
              <w:bottom w:val="single" w:sz="8" w:space="0" w:color="auto"/>
            </w:tcBorders>
          </w:tcPr>
          <w:p w:rsidR="004B60D1" w:rsidRDefault="00975324" w:rsidP="004B60D1">
            <w:pPr>
              <w:pStyle w:val="TableText"/>
              <w:rPr>
                <w:w w:val="105"/>
                <w:sz w:val="19"/>
              </w:rPr>
            </w:pPr>
            <w:r>
              <w:rPr>
                <w:w w:val="105"/>
                <w:sz w:val="19"/>
              </w:rPr>
              <w:t>59.9</w:t>
            </w:r>
          </w:p>
        </w:tc>
        <w:tc>
          <w:tcPr>
            <w:tcW w:w="611" w:type="pct"/>
            <w:tcBorders>
              <w:bottom w:val="single" w:sz="8" w:space="0" w:color="auto"/>
            </w:tcBorders>
          </w:tcPr>
          <w:p w:rsidR="004B60D1" w:rsidRDefault="00975324" w:rsidP="004B60D1">
            <w:pPr>
              <w:pStyle w:val="TableText"/>
              <w:rPr>
                <w:w w:val="105"/>
                <w:sz w:val="19"/>
              </w:rPr>
            </w:pPr>
            <w:r>
              <w:rPr>
                <w:w w:val="105"/>
                <w:sz w:val="19"/>
              </w:rPr>
              <w:t>31.4</w:t>
            </w:r>
          </w:p>
        </w:tc>
        <w:tc>
          <w:tcPr>
            <w:tcW w:w="611" w:type="pct"/>
            <w:tcBorders>
              <w:bottom w:val="single" w:sz="8" w:space="0" w:color="auto"/>
            </w:tcBorders>
          </w:tcPr>
          <w:p w:rsidR="004B60D1" w:rsidRDefault="004B60D1" w:rsidP="004B60D1">
            <w:pPr>
              <w:pStyle w:val="TableText"/>
              <w:rPr>
                <w:rFonts w:ascii="Times New Roman"/>
              </w:rPr>
            </w:pPr>
          </w:p>
        </w:tc>
        <w:tc>
          <w:tcPr>
            <w:tcW w:w="611" w:type="pct"/>
            <w:tcBorders>
              <w:bottom w:val="single" w:sz="8" w:space="0" w:color="auto"/>
            </w:tcBorders>
          </w:tcPr>
          <w:p w:rsidR="004B60D1" w:rsidRDefault="00975324" w:rsidP="004B60D1">
            <w:pPr>
              <w:pStyle w:val="TableText"/>
              <w:rPr>
                <w:w w:val="105"/>
                <w:sz w:val="19"/>
              </w:rPr>
            </w:pPr>
            <w:r>
              <w:rPr>
                <w:w w:val="105"/>
                <w:sz w:val="19"/>
              </w:rPr>
              <w:t>58.3</w:t>
            </w:r>
          </w:p>
        </w:tc>
        <w:tc>
          <w:tcPr>
            <w:tcW w:w="609" w:type="pct"/>
            <w:tcBorders>
              <w:bottom w:val="single" w:sz="8" w:space="0" w:color="auto"/>
            </w:tcBorders>
          </w:tcPr>
          <w:p w:rsidR="004B60D1" w:rsidRDefault="00975324" w:rsidP="004B60D1">
            <w:pPr>
              <w:pStyle w:val="TableText"/>
              <w:rPr>
                <w:w w:val="105"/>
                <w:sz w:val="19"/>
              </w:rPr>
            </w:pPr>
            <w:r>
              <w:rPr>
                <w:w w:val="105"/>
                <w:sz w:val="19"/>
              </w:rPr>
              <w:t>6.6</w:t>
            </w:r>
          </w:p>
        </w:tc>
      </w:tr>
      <w:tr w:rsidR="004B60D1" w:rsidRPr="006A3B93" w:rsidTr="004B60D1">
        <w:tc>
          <w:tcPr>
            <w:tcW w:w="1336" w:type="pct"/>
            <w:tcBorders>
              <w:top w:val="single" w:sz="8" w:space="0" w:color="auto"/>
              <w:left w:val="single" w:sz="8" w:space="0" w:color="auto"/>
              <w:bottom w:val="single" w:sz="8" w:space="0" w:color="auto"/>
              <w:right w:val="nil"/>
            </w:tcBorders>
            <w:shd w:val="clear" w:color="auto" w:fill="F2F2F2" w:themeFill="background1" w:themeFillShade="F2"/>
          </w:tcPr>
          <w:p w:rsidR="004B60D1" w:rsidRPr="004B60D1" w:rsidRDefault="004B60D1" w:rsidP="001638CE">
            <w:pPr>
              <w:pStyle w:val="TableText"/>
              <w:rPr>
                <w:b/>
              </w:rPr>
            </w:pPr>
            <w:r w:rsidRPr="004B60D1">
              <w:rPr>
                <w:b/>
              </w:rPr>
              <w:t>Insurance</w:t>
            </w:r>
          </w:p>
        </w:tc>
        <w:tc>
          <w:tcPr>
            <w:tcW w:w="611" w:type="pct"/>
            <w:tcBorders>
              <w:top w:val="single" w:sz="8" w:space="0" w:color="auto"/>
              <w:left w:val="nil"/>
              <w:bottom w:val="single" w:sz="8" w:space="0" w:color="auto"/>
              <w:right w:val="nil"/>
            </w:tcBorders>
            <w:shd w:val="clear" w:color="auto" w:fill="F2F2F2" w:themeFill="background1" w:themeFillShade="F2"/>
          </w:tcPr>
          <w:p w:rsidR="004B60D1" w:rsidRPr="004B60D1" w:rsidRDefault="004B60D1" w:rsidP="001638CE">
            <w:pPr>
              <w:pStyle w:val="TableText"/>
              <w:rPr>
                <w:b/>
              </w:rPr>
            </w:pPr>
          </w:p>
        </w:tc>
        <w:tc>
          <w:tcPr>
            <w:tcW w:w="611" w:type="pct"/>
            <w:tcBorders>
              <w:top w:val="single" w:sz="8" w:space="0" w:color="auto"/>
              <w:left w:val="nil"/>
              <w:bottom w:val="single" w:sz="8" w:space="0" w:color="auto"/>
              <w:right w:val="nil"/>
            </w:tcBorders>
            <w:shd w:val="clear" w:color="auto" w:fill="F2F2F2" w:themeFill="background1" w:themeFillShade="F2"/>
          </w:tcPr>
          <w:p w:rsidR="004B60D1" w:rsidRPr="004B60D1" w:rsidRDefault="004B60D1" w:rsidP="001638CE">
            <w:pPr>
              <w:pStyle w:val="TableText"/>
              <w:rPr>
                <w:b/>
                <w:w w:val="105"/>
                <w:sz w:val="19"/>
              </w:rPr>
            </w:pPr>
          </w:p>
        </w:tc>
        <w:tc>
          <w:tcPr>
            <w:tcW w:w="611" w:type="pct"/>
            <w:tcBorders>
              <w:top w:val="single" w:sz="8" w:space="0" w:color="auto"/>
              <w:left w:val="nil"/>
              <w:bottom w:val="single" w:sz="8" w:space="0" w:color="auto"/>
              <w:right w:val="nil"/>
            </w:tcBorders>
            <w:shd w:val="clear" w:color="auto" w:fill="F2F2F2" w:themeFill="background1" w:themeFillShade="F2"/>
          </w:tcPr>
          <w:p w:rsidR="004B60D1" w:rsidRPr="004B60D1" w:rsidRDefault="004B60D1" w:rsidP="001638CE">
            <w:pPr>
              <w:pStyle w:val="TableText"/>
              <w:rPr>
                <w:b/>
                <w:w w:val="105"/>
                <w:sz w:val="19"/>
              </w:rPr>
            </w:pPr>
          </w:p>
        </w:tc>
        <w:tc>
          <w:tcPr>
            <w:tcW w:w="611" w:type="pct"/>
            <w:tcBorders>
              <w:top w:val="single" w:sz="8" w:space="0" w:color="auto"/>
              <w:left w:val="nil"/>
              <w:bottom w:val="single" w:sz="8" w:space="0" w:color="auto"/>
              <w:right w:val="nil"/>
            </w:tcBorders>
            <w:shd w:val="clear" w:color="auto" w:fill="F2F2F2" w:themeFill="background1" w:themeFillShade="F2"/>
          </w:tcPr>
          <w:p w:rsidR="004B60D1" w:rsidRPr="004B60D1" w:rsidRDefault="004B60D1" w:rsidP="001638CE">
            <w:pPr>
              <w:pStyle w:val="TableText"/>
              <w:rPr>
                <w:rFonts w:ascii="Times New Roman"/>
                <w:b/>
              </w:rPr>
            </w:pPr>
          </w:p>
        </w:tc>
        <w:tc>
          <w:tcPr>
            <w:tcW w:w="611" w:type="pct"/>
            <w:tcBorders>
              <w:top w:val="single" w:sz="8" w:space="0" w:color="auto"/>
              <w:left w:val="nil"/>
              <w:bottom w:val="single" w:sz="8" w:space="0" w:color="auto"/>
              <w:right w:val="nil"/>
            </w:tcBorders>
            <w:shd w:val="clear" w:color="auto" w:fill="F2F2F2" w:themeFill="background1" w:themeFillShade="F2"/>
          </w:tcPr>
          <w:p w:rsidR="004B60D1" w:rsidRPr="004B60D1" w:rsidRDefault="004B60D1" w:rsidP="001638CE">
            <w:pPr>
              <w:pStyle w:val="TableText"/>
              <w:rPr>
                <w:b/>
                <w:w w:val="105"/>
                <w:sz w:val="19"/>
              </w:rPr>
            </w:pPr>
          </w:p>
        </w:tc>
        <w:tc>
          <w:tcPr>
            <w:tcW w:w="609" w:type="pct"/>
            <w:tcBorders>
              <w:top w:val="single" w:sz="8" w:space="0" w:color="auto"/>
              <w:left w:val="nil"/>
              <w:bottom w:val="single" w:sz="8" w:space="0" w:color="auto"/>
              <w:right w:val="single" w:sz="8" w:space="0" w:color="auto"/>
            </w:tcBorders>
            <w:shd w:val="clear" w:color="auto" w:fill="F2F2F2" w:themeFill="background1" w:themeFillShade="F2"/>
          </w:tcPr>
          <w:p w:rsidR="004B60D1" w:rsidRPr="004B60D1" w:rsidRDefault="004B60D1" w:rsidP="001638CE">
            <w:pPr>
              <w:pStyle w:val="TableText"/>
              <w:rPr>
                <w:b/>
                <w:w w:val="105"/>
                <w:sz w:val="19"/>
              </w:rPr>
            </w:pPr>
          </w:p>
        </w:tc>
      </w:tr>
      <w:tr w:rsidR="004B60D1" w:rsidRPr="006A3B93" w:rsidTr="004B60D1">
        <w:tc>
          <w:tcPr>
            <w:tcW w:w="1336" w:type="pct"/>
            <w:tcBorders>
              <w:top w:val="single" w:sz="8" w:space="0" w:color="auto"/>
            </w:tcBorders>
          </w:tcPr>
          <w:p w:rsidR="004B60D1" w:rsidRPr="006A3B93" w:rsidRDefault="004B60D1" w:rsidP="004B60D1">
            <w:pPr>
              <w:pStyle w:val="TableText"/>
            </w:pPr>
            <w:r w:rsidRPr="006A3B93">
              <w:t>$Mean</w:t>
            </w:r>
          </w:p>
        </w:tc>
        <w:tc>
          <w:tcPr>
            <w:tcW w:w="611" w:type="pct"/>
            <w:tcBorders>
              <w:top w:val="single" w:sz="8" w:space="0" w:color="auto"/>
            </w:tcBorders>
          </w:tcPr>
          <w:p w:rsidR="004B60D1" w:rsidRPr="006A3B93" w:rsidRDefault="004B60D1" w:rsidP="004B60D1">
            <w:pPr>
              <w:pStyle w:val="TableText"/>
            </w:pPr>
          </w:p>
        </w:tc>
        <w:tc>
          <w:tcPr>
            <w:tcW w:w="611" w:type="pct"/>
            <w:tcBorders>
              <w:top w:val="single" w:sz="8" w:space="0" w:color="auto"/>
            </w:tcBorders>
          </w:tcPr>
          <w:p w:rsidR="004B60D1" w:rsidRDefault="00975324" w:rsidP="004B60D1">
            <w:pPr>
              <w:pStyle w:val="TableText"/>
              <w:rPr>
                <w:w w:val="105"/>
                <w:sz w:val="19"/>
              </w:rPr>
            </w:pPr>
            <w:r>
              <w:rPr>
                <w:w w:val="105"/>
                <w:sz w:val="19"/>
              </w:rPr>
              <w:t>33</w:t>
            </w:r>
          </w:p>
        </w:tc>
        <w:tc>
          <w:tcPr>
            <w:tcW w:w="611" w:type="pct"/>
            <w:tcBorders>
              <w:top w:val="single" w:sz="8" w:space="0" w:color="auto"/>
            </w:tcBorders>
          </w:tcPr>
          <w:p w:rsidR="004B60D1" w:rsidRDefault="00975324" w:rsidP="004B60D1">
            <w:pPr>
              <w:pStyle w:val="TableText"/>
              <w:rPr>
                <w:w w:val="105"/>
                <w:sz w:val="19"/>
              </w:rPr>
            </w:pPr>
            <w:r>
              <w:rPr>
                <w:w w:val="105"/>
                <w:sz w:val="19"/>
              </w:rPr>
              <w:t>30</w:t>
            </w:r>
          </w:p>
        </w:tc>
        <w:tc>
          <w:tcPr>
            <w:tcW w:w="611" w:type="pct"/>
            <w:tcBorders>
              <w:top w:val="single" w:sz="8" w:space="0" w:color="auto"/>
            </w:tcBorders>
          </w:tcPr>
          <w:p w:rsidR="004B60D1" w:rsidRDefault="004B60D1" w:rsidP="004B60D1">
            <w:pPr>
              <w:pStyle w:val="TableText"/>
              <w:rPr>
                <w:rFonts w:ascii="Times New Roman"/>
              </w:rPr>
            </w:pPr>
          </w:p>
        </w:tc>
        <w:tc>
          <w:tcPr>
            <w:tcW w:w="611" w:type="pct"/>
            <w:tcBorders>
              <w:top w:val="single" w:sz="8" w:space="0" w:color="auto"/>
            </w:tcBorders>
          </w:tcPr>
          <w:p w:rsidR="004B60D1" w:rsidRDefault="00975324" w:rsidP="004B60D1">
            <w:pPr>
              <w:pStyle w:val="TableText"/>
              <w:rPr>
                <w:w w:val="105"/>
                <w:sz w:val="19"/>
              </w:rPr>
            </w:pPr>
            <w:r>
              <w:rPr>
                <w:w w:val="105"/>
                <w:sz w:val="19"/>
              </w:rPr>
              <w:t>64</w:t>
            </w:r>
          </w:p>
        </w:tc>
        <w:tc>
          <w:tcPr>
            <w:tcW w:w="609" w:type="pct"/>
            <w:tcBorders>
              <w:top w:val="single" w:sz="8" w:space="0" w:color="auto"/>
            </w:tcBorders>
          </w:tcPr>
          <w:p w:rsidR="004B60D1" w:rsidRDefault="00975324" w:rsidP="004B60D1">
            <w:pPr>
              <w:pStyle w:val="TableText"/>
              <w:rPr>
                <w:w w:val="105"/>
                <w:sz w:val="19"/>
              </w:rPr>
            </w:pPr>
            <w:r>
              <w:rPr>
                <w:w w:val="105"/>
                <w:sz w:val="19"/>
              </w:rPr>
              <w:t>68</w:t>
            </w:r>
          </w:p>
        </w:tc>
      </w:tr>
      <w:tr w:rsidR="004B60D1" w:rsidRPr="006A3B93" w:rsidTr="004B60D1">
        <w:tc>
          <w:tcPr>
            <w:tcW w:w="1336" w:type="pct"/>
            <w:tcBorders>
              <w:bottom w:val="single" w:sz="8" w:space="0" w:color="auto"/>
            </w:tcBorders>
          </w:tcPr>
          <w:p w:rsidR="004B60D1" w:rsidRPr="006A3B93" w:rsidRDefault="004B60D1" w:rsidP="004B60D1">
            <w:pPr>
              <w:pStyle w:val="TableText"/>
            </w:pPr>
            <w:r w:rsidRPr="006A3B93">
              <w:t>%</w:t>
            </w:r>
          </w:p>
        </w:tc>
        <w:tc>
          <w:tcPr>
            <w:tcW w:w="611" w:type="pct"/>
            <w:tcBorders>
              <w:bottom w:val="single" w:sz="8" w:space="0" w:color="auto"/>
            </w:tcBorders>
          </w:tcPr>
          <w:p w:rsidR="004B60D1" w:rsidRPr="006A3B93" w:rsidRDefault="004B60D1" w:rsidP="004B60D1">
            <w:pPr>
              <w:pStyle w:val="TableText"/>
            </w:pPr>
          </w:p>
        </w:tc>
        <w:tc>
          <w:tcPr>
            <w:tcW w:w="611" w:type="pct"/>
            <w:tcBorders>
              <w:bottom w:val="single" w:sz="8" w:space="0" w:color="auto"/>
            </w:tcBorders>
          </w:tcPr>
          <w:p w:rsidR="004B60D1" w:rsidRDefault="00975324" w:rsidP="004B60D1">
            <w:pPr>
              <w:pStyle w:val="TableText"/>
              <w:rPr>
                <w:w w:val="105"/>
                <w:sz w:val="19"/>
              </w:rPr>
            </w:pPr>
            <w:r>
              <w:rPr>
                <w:w w:val="105"/>
                <w:sz w:val="19"/>
              </w:rPr>
              <w:t>17.2</w:t>
            </w:r>
          </w:p>
        </w:tc>
        <w:tc>
          <w:tcPr>
            <w:tcW w:w="611" w:type="pct"/>
            <w:tcBorders>
              <w:bottom w:val="single" w:sz="8" w:space="0" w:color="auto"/>
            </w:tcBorders>
          </w:tcPr>
          <w:p w:rsidR="004B60D1" w:rsidRDefault="00975324" w:rsidP="004B60D1">
            <w:pPr>
              <w:pStyle w:val="TableText"/>
              <w:rPr>
                <w:w w:val="105"/>
                <w:sz w:val="19"/>
              </w:rPr>
            </w:pPr>
            <w:r>
              <w:rPr>
                <w:w w:val="105"/>
                <w:sz w:val="19"/>
              </w:rPr>
              <w:t>59.3</w:t>
            </w:r>
          </w:p>
        </w:tc>
        <w:tc>
          <w:tcPr>
            <w:tcW w:w="611" w:type="pct"/>
            <w:tcBorders>
              <w:bottom w:val="single" w:sz="8" w:space="0" w:color="auto"/>
            </w:tcBorders>
          </w:tcPr>
          <w:p w:rsidR="004B60D1" w:rsidRDefault="004B60D1" w:rsidP="004B60D1">
            <w:pPr>
              <w:pStyle w:val="TableText"/>
              <w:rPr>
                <w:rFonts w:ascii="Times New Roman"/>
              </w:rPr>
            </w:pPr>
          </w:p>
        </w:tc>
        <w:tc>
          <w:tcPr>
            <w:tcW w:w="611" w:type="pct"/>
            <w:tcBorders>
              <w:bottom w:val="single" w:sz="8" w:space="0" w:color="auto"/>
            </w:tcBorders>
          </w:tcPr>
          <w:p w:rsidR="004B60D1" w:rsidRDefault="00975324" w:rsidP="004B60D1">
            <w:pPr>
              <w:pStyle w:val="TableText"/>
              <w:rPr>
                <w:w w:val="105"/>
                <w:sz w:val="19"/>
              </w:rPr>
            </w:pPr>
            <w:r>
              <w:rPr>
                <w:w w:val="105"/>
                <w:sz w:val="19"/>
              </w:rPr>
              <w:t>62.5</w:t>
            </w:r>
          </w:p>
        </w:tc>
        <w:tc>
          <w:tcPr>
            <w:tcW w:w="609" w:type="pct"/>
            <w:tcBorders>
              <w:bottom w:val="single" w:sz="8" w:space="0" w:color="auto"/>
            </w:tcBorders>
          </w:tcPr>
          <w:p w:rsidR="004B60D1" w:rsidRDefault="00975324" w:rsidP="004B60D1">
            <w:pPr>
              <w:pStyle w:val="TableText"/>
              <w:rPr>
                <w:w w:val="105"/>
                <w:sz w:val="19"/>
              </w:rPr>
            </w:pPr>
            <w:r>
              <w:rPr>
                <w:w w:val="105"/>
                <w:sz w:val="19"/>
              </w:rPr>
              <w:t>80.2</w:t>
            </w:r>
          </w:p>
        </w:tc>
      </w:tr>
      <w:tr w:rsidR="004B60D1" w:rsidRPr="004B60D1" w:rsidTr="004B60D1">
        <w:tc>
          <w:tcPr>
            <w:tcW w:w="1336" w:type="pct"/>
            <w:tcBorders>
              <w:top w:val="single" w:sz="8" w:space="0" w:color="auto"/>
              <w:left w:val="single" w:sz="8" w:space="0" w:color="auto"/>
              <w:bottom w:val="single" w:sz="8" w:space="0" w:color="auto"/>
              <w:right w:val="nil"/>
            </w:tcBorders>
            <w:shd w:val="clear" w:color="auto" w:fill="F2F2F2" w:themeFill="background1" w:themeFillShade="F2"/>
          </w:tcPr>
          <w:p w:rsidR="004B60D1" w:rsidRPr="004B60D1" w:rsidRDefault="004B60D1" w:rsidP="001638CE">
            <w:pPr>
              <w:pStyle w:val="TableText"/>
              <w:rPr>
                <w:b/>
                <w:color w:val="auto"/>
              </w:rPr>
            </w:pPr>
            <w:r w:rsidRPr="004B60D1">
              <w:rPr>
                <w:b/>
                <w:color w:val="auto"/>
              </w:rPr>
              <w:t>Childcare</w:t>
            </w:r>
          </w:p>
        </w:tc>
        <w:tc>
          <w:tcPr>
            <w:tcW w:w="611" w:type="pct"/>
            <w:tcBorders>
              <w:top w:val="single" w:sz="8" w:space="0" w:color="auto"/>
              <w:left w:val="nil"/>
              <w:bottom w:val="single" w:sz="8" w:space="0" w:color="auto"/>
              <w:right w:val="nil"/>
            </w:tcBorders>
            <w:shd w:val="clear" w:color="auto" w:fill="F2F2F2" w:themeFill="background1" w:themeFillShade="F2"/>
          </w:tcPr>
          <w:p w:rsidR="004B60D1" w:rsidRPr="004B60D1" w:rsidRDefault="004B60D1" w:rsidP="001638CE">
            <w:pPr>
              <w:pStyle w:val="TableText"/>
              <w:rPr>
                <w:b/>
                <w:color w:val="auto"/>
              </w:rPr>
            </w:pPr>
          </w:p>
        </w:tc>
        <w:tc>
          <w:tcPr>
            <w:tcW w:w="611" w:type="pct"/>
            <w:tcBorders>
              <w:top w:val="single" w:sz="8" w:space="0" w:color="auto"/>
              <w:left w:val="nil"/>
              <w:bottom w:val="single" w:sz="8" w:space="0" w:color="auto"/>
              <w:right w:val="nil"/>
            </w:tcBorders>
            <w:shd w:val="clear" w:color="auto" w:fill="F2F2F2" w:themeFill="background1" w:themeFillShade="F2"/>
          </w:tcPr>
          <w:p w:rsidR="004B60D1" w:rsidRPr="004B60D1" w:rsidRDefault="004B60D1" w:rsidP="001638CE">
            <w:pPr>
              <w:pStyle w:val="TableText"/>
              <w:rPr>
                <w:b/>
                <w:color w:val="auto"/>
                <w:w w:val="105"/>
                <w:sz w:val="19"/>
              </w:rPr>
            </w:pPr>
          </w:p>
        </w:tc>
        <w:tc>
          <w:tcPr>
            <w:tcW w:w="611" w:type="pct"/>
            <w:tcBorders>
              <w:top w:val="single" w:sz="8" w:space="0" w:color="auto"/>
              <w:left w:val="nil"/>
              <w:bottom w:val="single" w:sz="8" w:space="0" w:color="auto"/>
              <w:right w:val="nil"/>
            </w:tcBorders>
            <w:shd w:val="clear" w:color="auto" w:fill="F2F2F2" w:themeFill="background1" w:themeFillShade="F2"/>
          </w:tcPr>
          <w:p w:rsidR="004B60D1" w:rsidRPr="004B60D1" w:rsidRDefault="004B60D1" w:rsidP="001638CE">
            <w:pPr>
              <w:pStyle w:val="TableText"/>
              <w:rPr>
                <w:b/>
                <w:color w:val="auto"/>
                <w:w w:val="105"/>
                <w:sz w:val="19"/>
              </w:rPr>
            </w:pPr>
          </w:p>
        </w:tc>
        <w:tc>
          <w:tcPr>
            <w:tcW w:w="611" w:type="pct"/>
            <w:tcBorders>
              <w:top w:val="single" w:sz="8" w:space="0" w:color="auto"/>
              <w:left w:val="nil"/>
              <w:bottom w:val="single" w:sz="8" w:space="0" w:color="auto"/>
              <w:right w:val="nil"/>
            </w:tcBorders>
            <w:shd w:val="clear" w:color="auto" w:fill="F2F2F2" w:themeFill="background1" w:themeFillShade="F2"/>
          </w:tcPr>
          <w:p w:rsidR="004B60D1" w:rsidRPr="004B60D1" w:rsidRDefault="004B60D1" w:rsidP="001638CE">
            <w:pPr>
              <w:pStyle w:val="TableText"/>
              <w:rPr>
                <w:rFonts w:ascii="Times New Roman"/>
                <w:b/>
                <w:color w:val="auto"/>
              </w:rPr>
            </w:pPr>
          </w:p>
        </w:tc>
        <w:tc>
          <w:tcPr>
            <w:tcW w:w="611" w:type="pct"/>
            <w:tcBorders>
              <w:top w:val="single" w:sz="8" w:space="0" w:color="auto"/>
              <w:left w:val="nil"/>
              <w:bottom w:val="single" w:sz="8" w:space="0" w:color="auto"/>
              <w:right w:val="nil"/>
            </w:tcBorders>
            <w:shd w:val="clear" w:color="auto" w:fill="F2F2F2" w:themeFill="background1" w:themeFillShade="F2"/>
          </w:tcPr>
          <w:p w:rsidR="004B60D1" w:rsidRPr="004B60D1" w:rsidRDefault="004B60D1" w:rsidP="001638CE">
            <w:pPr>
              <w:pStyle w:val="TableText"/>
              <w:rPr>
                <w:b/>
                <w:color w:val="auto"/>
                <w:w w:val="105"/>
                <w:sz w:val="19"/>
              </w:rPr>
            </w:pPr>
          </w:p>
        </w:tc>
        <w:tc>
          <w:tcPr>
            <w:tcW w:w="609" w:type="pct"/>
            <w:tcBorders>
              <w:top w:val="single" w:sz="8" w:space="0" w:color="auto"/>
              <w:left w:val="nil"/>
              <w:bottom w:val="single" w:sz="8" w:space="0" w:color="auto"/>
              <w:right w:val="single" w:sz="8" w:space="0" w:color="auto"/>
            </w:tcBorders>
            <w:shd w:val="clear" w:color="auto" w:fill="F2F2F2" w:themeFill="background1" w:themeFillShade="F2"/>
          </w:tcPr>
          <w:p w:rsidR="004B60D1" w:rsidRPr="004B60D1" w:rsidRDefault="004B60D1" w:rsidP="001638CE">
            <w:pPr>
              <w:pStyle w:val="TableText"/>
              <w:rPr>
                <w:b/>
                <w:color w:val="auto"/>
                <w:w w:val="105"/>
                <w:sz w:val="19"/>
              </w:rPr>
            </w:pPr>
          </w:p>
        </w:tc>
      </w:tr>
      <w:tr w:rsidR="004B60D1" w:rsidRPr="006A3B93" w:rsidTr="004B60D1">
        <w:tc>
          <w:tcPr>
            <w:tcW w:w="1336" w:type="pct"/>
            <w:tcBorders>
              <w:top w:val="single" w:sz="8" w:space="0" w:color="auto"/>
            </w:tcBorders>
          </w:tcPr>
          <w:p w:rsidR="004B60D1" w:rsidRPr="006A3B93" w:rsidRDefault="004B60D1" w:rsidP="004B60D1">
            <w:pPr>
              <w:pStyle w:val="TableText"/>
            </w:pPr>
            <w:r w:rsidRPr="006A3B93">
              <w:t>$Mean</w:t>
            </w:r>
          </w:p>
        </w:tc>
        <w:tc>
          <w:tcPr>
            <w:tcW w:w="611" w:type="pct"/>
            <w:tcBorders>
              <w:top w:val="single" w:sz="8" w:space="0" w:color="auto"/>
            </w:tcBorders>
          </w:tcPr>
          <w:p w:rsidR="004B60D1" w:rsidRPr="006A3B93" w:rsidRDefault="004B60D1" w:rsidP="004B60D1">
            <w:pPr>
              <w:pStyle w:val="TableText"/>
            </w:pPr>
          </w:p>
        </w:tc>
        <w:tc>
          <w:tcPr>
            <w:tcW w:w="611" w:type="pct"/>
            <w:tcBorders>
              <w:top w:val="single" w:sz="8" w:space="0" w:color="auto"/>
            </w:tcBorders>
          </w:tcPr>
          <w:p w:rsidR="004B60D1" w:rsidRDefault="00975324" w:rsidP="004B60D1">
            <w:pPr>
              <w:pStyle w:val="TableText"/>
              <w:rPr>
                <w:w w:val="105"/>
                <w:sz w:val="19"/>
              </w:rPr>
            </w:pPr>
            <w:r>
              <w:rPr>
                <w:w w:val="105"/>
                <w:sz w:val="19"/>
              </w:rPr>
              <w:t>43</w:t>
            </w:r>
          </w:p>
        </w:tc>
        <w:tc>
          <w:tcPr>
            <w:tcW w:w="611" w:type="pct"/>
            <w:tcBorders>
              <w:top w:val="single" w:sz="8" w:space="0" w:color="auto"/>
            </w:tcBorders>
          </w:tcPr>
          <w:p w:rsidR="004B60D1" w:rsidRDefault="00975324" w:rsidP="004B60D1">
            <w:pPr>
              <w:pStyle w:val="TableText"/>
              <w:rPr>
                <w:w w:val="105"/>
                <w:sz w:val="19"/>
              </w:rPr>
            </w:pPr>
            <w:r>
              <w:rPr>
                <w:w w:val="105"/>
                <w:sz w:val="19"/>
              </w:rPr>
              <w:t>100</w:t>
            </w:r>
          </w:p>
        </w:tc>
        <w:tc>
          <w:tcPr>
            <w:tcW w:w="611" w:type="pct"/>
            <w:tcBorders>
              <w:top w:val="single" w:sz="8" w:space="0" w:color="auto"/>
            </w:tcBorders>
          </w:tcPr>
          <w:p w:rsidR="004B60D1" w:rsidRDefault="004B60D1" w:rsidP="004B60D1">
            <w:pPr>
              <w:pStyle w:val="TableText"/>
              <w:rPr>
                <w:rFonts w:ascii="Times New Roman"/>
              </w:rPr>
            </w:pPr>
          </w:p>
        </w:tc>
        <w:tc>
          <w:tcPr>
            <w:tcW w:w="611" w:type="pct"/>
            <w:tcBorders>
              <w:top w:val="single" w:sz="8" w:space="0" w:color="auto"/>
            </w:tcBorders>
          </w:tcPr>
          <w:p w:rsidR="004B60D1" w:rsidRDefault="00975324" w:rsidP="004B60D1">
            <w:pPr>
              <w:pStyle w:val="TableText"/>
              <w:rPr>
                <w:w w:val="105"/>
                <w:sz w:val="19"/>
              </w:rPr>
            </w:pPr>
            <w:r>
              <w:rPr>
                <w:w w:val="105"/>
                <w:sz w:val="19"/>
              </w:rPr>
              <w:t>200</w:t>
            </w:r>
          </w:p>
        </w:tc>
        <w:tc>
          <w:tcPr>
            <w:tcW w:w="609" w:type="pct"/>
            <w:tcBorders>
              <w:top w:val="single" w:sz="8" w:space="0" w:color="auto"/>
            </w:tcBorders>
          </w:tcPr>
          <w:p w:rsidR="004B60D1" w:rsidRDefault="00975324" w:rsidP="004B60D1">
            <w:pPr>
              <w:pStyle w:val="TableText"/>
              <w:rPr>
                <w:w w:val="105"/>
                <w:sz w:val="19"/>
              </w:rPr>
            </w:pPr>
            <w:r>
              <w:rPr>
                <w:w w:val="105"/>
                <w:sz w:val="19"/>
              </w:rPr>
              <w:t>126</w:t>
            </w:r>
          </w:p>
        </w:tc>
      </w:tr>
      <w:tr w:rsidR="004B60D1" w:rsidRPr="006A3B93" w:rsidTr="001638CE">
        <w:tc>
          <w:tcPr>
            <w:tcW w:w="1336" w:type="pct"/>
          </w:tcPr>
          <w:p w:rsidR="004B60D1" w:rsidRPr="006A3B93" w:rsidRDefault="004B60D1" w:rsidP="004B60D1">
            <w:pPr>
              <w:pStyle w:val="TableText"/>
            </w:pPr>
            <w:r w:rsidRPr="006A3B93">
              <w:t>%</w:t>
            </w:r>
          </w:p>
        </w:tc>
        <w:tc>
          <w:tcPr>
            <w:tcW w:w="611" w:type="pct"/>
          </w:tcPr>
          <w:p w:rsidR="004B60D1" w:rsidRPr="006A3B93" w:rsidRDefault="004B60D1" w:rsidP="004B60D1">
            <w:pPr>
              <w:pStyle w:val="TableText"/>
            </w:pPr>
          </w:p>
        </w:tc>
        <w:tc>
          <w:tcPr>
            <w:tcW w:w="611" w:type="pct"/>
          </w:tcPr>
          <w:p w:rsidR="004B60D1" w:rsidRDefault="00975324" w:rsidP="004B60D1">
            <w:pPr>
              <w:pStyle w:val="TableText"/>
              <w:rPr>
                <w:w w:val="105"/>
                <w:sz w:val="19"/>
              </w:rPr>
            </w:pPr>
            <w:r>
              <w:rPr>
                <w:w w:val="105"/>
                <w:sz w:val="19"/>
              </w:rPr>
              <w:t>1</w:t>
            </w:r>
          </w:p>
        </w:tc>
        <w:tc>
          <w:tcPr>
            <w:tcW w:w="611" w:type="pct"/>
          </w:tcPr>
          <w:p w:rsidR="004B60D1" w:rsidRDefault="00975324" w:rsidP="004B60D1">
            <w:pPr>
              <w:pStyle w:val="TableText"/>
              <w:rPr>
                <w:w w:val="105"/>
                <w:sz w:val="19"/>
              </w:rPr>
            </w:pPr>
            <w:r>
              <w:rPr>
                <w:w w:val="105"/>
                <w:sz w:val="19"/>
              </w:rPr>
              <w:t>1.8</w:t>
            </w:r>
          </w:p>
        </w:tc>
        <w:tc>
          <w:tcPr>
            <w:tcW w:w="611" w:type="pct"/>
          </w:tcPr>
          <w:p w:rsidR="004B60D1" w:rsidRDefault="004B60D1" w:rsidP="004B60D1">
            <w:pPr>
              <w:pStyle w:val="TableText"/>
              <w:rPr>
                <w:rFonts w:ascii="Times New Roman"/>
              </w:rPr>
            </w:pPr>
          </w:p>
        </w:tc>
        <w:tc>
          <w:tcPr>
            <w:tcW w:w="611" w:type="pct"/>
          </w:tcPr>
          <w:p w:rsidR="004B60D1" w:rsidRDefault="00975324" w:rsidP="004B60D1">
            <w:pPr>
              <w:pStyle w:val="TableText"/>
              <w:rPr>
                <w:w w:val="105"/>
                <w:sz w:val="19"/>
              </w:rPr>
            </w:pPr>
            <w:r>
              <w:rPr>
                <w:w w:val="105"/>
                <w:sz w:val="19"/>
              </w:rPr>
              <w:t>4.2</w:t>
            </w:r>
          </w:p>
        </w:tc>
        <w:tc>
          <w:tcPr>
            <w:tcW w:w="609" w:type="pct"/>
          </w:tcPr>
          <w:p w:rsidR="004B60D1" w:rsidRDefault="00975324" w:rsidP="004B60D1">
            <w:pPr>
              <w:pStyle w:val="TableText"/>
              <w:rPr>
                <w:w w:val="105"/>
                <w:sz w:val="19"/>
              </w:rPr>
            </w:pPr>
            <w:r>
              <w:rPr>
                <w:w w:val="105"/>
                <w:sz w:val="19"/>
              </w:rPr>
              <w:t>21</w:t>
            </w:r>
          </w:p>
        </w:tc>
      </w:tr>
    </w:tbl>
    <w:p w:rsidR="004B60D1" w:rsidRDefault="004B60D1" w:rsidP="002024C8"/>
    <w:p w:rsidR="00AE5978" w:rsidRDefault="00AE5978" w:rsidP="00AE5978">
      <w:pPr>
        <w:pStyle w:val="TableTitles"/>
        <w:jc w:val="left"/>
      </w:pPr>
      <w:bookmarkStart w:id="45" w:name="_Toc517270501"/>
      <w:r>
        <w:t xml:space="preserve">Table </w:t>
      </w:r>
      <w:fldSimple w:instr=" SEQ Table \* ARABIC ">
        <w:r w:rsidR="00766065">
          <w:rPr>
            <w:noProof/>
          </w:rPr>
          <w:t>7</w:t>
        </w:r>
      </w:fldSimple>
      <w:r>
        <w:t xml:space="preserve">: </w:t>
      </w:r>
      <w:r w:rsidRPr="001E6CA0">
        <w:t>Overall mean income and expenditure of receiving Youth Allowance per week ($)</w:t>
      </w:r>
      <w:bookmarkEnd w:id="45"/>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45" w:type="dxa"/>
          <w:left w:w="85" w:type="dxa"/>
          <w:bottom w:w="11" w:type="dxa"/>
          <w:right w:w="85" w:type="dxa"/>
        </w:tblCellMar>
        <w:tblLook w:val="01E0" w:firstRow="1" w:lastRow="1" w:firstColumn="1" w:lastColumn="1" w:noHBand="0" w:noVBand="0"/>
        <w:tblCaption w:val="Table 7"/>
        <w:tblDescription w:val="Table displaying the overall mean income and expenditure of receiving Youth Allowance per week ($), split into: Relocated Deficit/Surplus; and Non-relocated Deficit/Surplus."/>
      </w:tblPr>
      <w:tblGrid>
        <w:gridCol w:w="3514"/>
        <w:gridCol w:w="1376"/>
        <w:gridCol w:w="1376"/>
        <w:gridCol w:w="1376"/>
        <w:gridCol w:w="1374"/>
      </w:tblGrid>
      <w:tr w:rsidR="00975324" w:rsidTr="00F6114E">
        <w:trPr>
          <w:tblHeader/>
        </w:trPr>
        <w:tc>
          <w:tcPr>
            <w:tcW w:w="1949" w:type="pct"/>
            <w:tcBorders>
              <w:top w:val="nil"/>
              <w:left w:val="nil"/>
              <w:bottom w:val="single" w:sz="8" w:space="0" w:color="auto"/>
              <w:right w:val="single" w:sz="8" w:space="0" w:color="auto"/>
            </w:tcBorders>
            <w:shd w:val="clear" w:color="auto" w:fill="auto"/>
          </w:tcPr>
          <w:p w:rsidR="00975324" w:rsidRDefault="00975324" w:rsidP="00975324">
            <w:pPr>
              <w:pStyle w:val="TableText"/>
            </w:pPr>
          </w:p>
        </w:tc>
        <w:tc>
          <w:tcPr>
            <w:tcW w:w="763" w:type="pct"/>
            <w:tcBorders>
              <w:left w:val="single" w:sz="8" w:space="0" w:color="auto"/>
            </w:tcBorders>
            <w:shd w:val="clear" w:color="auto" w:fill="619DD1"/>
          </w:tcPr>
          <w:p w:rsidR="00975324" w:rsidRPr="00AE5978" w:rsidRDefault="00AE5978" w:rsidP="00975324">
            <w:pPr>
              <w:pStyle w:val="TableText"/>
              <w:rPr>
                <w:b/>
                <w:color w:val="FFFFFF" w:themeColor="background1"/>
              </w:rPr>
            </w:pPr>
            <w:r w:rsidRPr="00AE5978">
              <w:rPr>
                <w:b/>
                <w:color w:val="FFFFFF" w:themeColor="background1"/>
              </w:rPr>
              <w:t>RELOCATED</w:t>
            </w:r>
          </w:p>
        </w:tc>
        <w:tc>
          <w:tcPr>
            <w:tcW w:w="763" w:type="pct"/>
            <w:shd w:val="clear" w:color="auto" w:fill="619DD1"/>
          </w:tcPr>
          <w:p w:rsidR="00975324" w:rsidRPr="00AE5978" w:rsidRDefault="00AE5978" w:rsidP="00975324">
            <w:pPr>
              <w:pStyle w:val="TableText"/>
              <w:rPr>
                <w:b/>
                <w:color w:val="FFFFFF" w:themeColor="background1"/>
              </w:rPr>
            </w:pPr>
            <w:r w:rsidRPr="00AE5978">
              <w:rPr>
                <w:b/>
                <w:color w:val="FFFFFF" w:themeColor="background1"/>
              </w:rPr>
              <w:t>DEFICIT/ SURPLUS</w:t>
            </w:r>
          </w:p>
        </w:tc>
        <w:tc>
          <w:tcPr>
            <w:tcW w:w="763" w:type="pct"/>
            <w:shd w:val="clear" w:color="auto" w:fill="619DD1"/>
          </w:tcPr>
          <w:p w:rsidR="00975324" w:rsidRPr="00AE5978" w:rsidRDefault="00AE5978" w:rsidP="00975324">
            <w:pPr>
              <w:pStyle w:val="TableText"/>
              <w:rPr>
                <w:b/>
                <w:color w:val="FFFFFF" w:themeColor="background1"/>
              </w:rPr>
            </w:pPr>
            <w:r w:rsidRPr="00AE5978">
              <w:rPr>
                <w:b/>
                <w:color w:val="FFFFFF" w:themeColor="background1"/>
              </w:rPr>
              <w:t>NON-RELOCATED</w:t>
            </w:r>
          </w:p>
        </w:tc>
        <w:tc>
          <w:tcPr>
            <w:tcW w:w="762" w:type="pct"/>
            <w:shd w:val="clear" w:color="auto" w:fill="619DD1"/>
          </w:tcPr>
          <w:p w:rsidR="00975324" w:rsidRPr="00AE5978" w:rsidRDefault="00AE5978" w:rsidP="00975324">
            <w:pPr>
              <w:pStyle w:val="TableText"/>
              <w:rPr>
                <w:b/>
                <w:color w:val="FFFFFF" w:themeColor="background1"/>
              </w:rPr>
            </w:pPr>
            <w:r w:rsidRPr="00AE5978">
              <w:rPr>
                <w:b/>
                <w:color w:val="FFFFFF" w:themeColor="background1"/>
              </w:rPr>
              <w:t>DEFICIT/ SURPLUS</w:t>
            </w:r>
          </w:p>
        </w:tc>
      </w:tr>
      <w:tr w:rsidR="00975324" w:rsidTr="00AE5978">
        <w:tc>
          <w:tcPr>
            <w:tcW w:w="1949" w:type="pct"/>
            <w:tcBorders>
              <w:top w:val="single" w:sz="8" w:space="0" w:color="auto"/>
            </w:tcBorders>
          </w:tcPr>
          <w:p w:rsidR="00975324" w:rsidRDefault="00975324" w:rsidP="00975324">
            <w:pPr>
              <w:pStyle w:val="TableText"/>
              <w:rPr>
                <w:b/>
              </w:rPr>
            </w:pPr>
            <w:r>
              <w:rPr>
                <w:b/>
                <w:w w:val="105"/>
              </w:rPr>
              <w:t>Dependent Youth Allowance</w:t>
            </w:r>
          </w:p>
          <w:p w:rsidR="00975324" w:rsidRDefault="00975324" w:rsidP="00975324">
            <w:pPr>
              <w:pStyle w:val="TableText"/>
              <w:rPr>
                <w:b/>
              </w:rPr>
            </w:pPr>
            <w:r>
              <w:rPr>
                <w:b/>
                <w:w w:val="105"/>
              </w:rPr>
              <w:t>recipients:</w:t>
            </w:r>
            <w:r>
              <w:rPr>
                <w:b/>
              </w:rPr>
              <w:t xml:space="preserve"> </w:t>
            </w:r>
            <w:r>
              <w:rPr>
                <w:b/>
                <w:w w:val="105"/>
              </w:rPr>
              <w:t>Total income $</w:t>
            </w:r>
          </w:p>
        </w:tc>
        <w:tc>
          <w:tcPr>
            <w:tcW w:w="763" w:type="pct"/>
          </w:tcPr>
          <w:p w:rsidR="00975324" w:rsidRDefault="00975324" w:rsidP="00975324">
            <w:pPr>
              <w:pStyle w:val="TableText"/>
            </w:pPr>
            <w:r>
              <w:rPr>
                <w:w w:val="105"/>
              </w:rPr>
              <w:t>(n=62)</w:t>
            </w:r>
          </w:p>
          <w:p w:rsidR="00975324" w:rsidRDefault="00975324" w:rsidP="00975324">
            <w:pPr>
              <w:pStyle w:val="TableText"/>
            </w:pPr>
            <w:r>
              <w:rPr>
                <w:w w:val="105"/>
              </w:rPr>
              <w:t>311</w:t>
            </w:r>
          </w:p>
        </w:tc>
        <w:tc>
          <w:tcPr>
            <w:tcW w:w="763" w:type="pct"/>
          </w:tcPr>
          <w:p w:rsidR="00975324" w:rsidRDefault="00975324" w:rsidP="00975324">
            <w:pPr>
              <w:pStyle w:val="TableText"/>
              <w:rPr>
                <w:rFonts w:ascii="Times New Roman"/>
                <w:sz w:val="16"/>
              </w:rPr>
            </w:pPr>
          </w:p>
        </w:tc>
        <w:tc>
          <w:tcPr>
            <w:tcW w:w="763" w:type="pct"/>
          </w:tcPr>
          <w:p w:rsidR="00975324" w:rsidRDefault="00975324" w:rsidP="00975324">
            <w:pPr>
              <w:pStyle w:val="TableText"/>
            </w:pPr>
            <w:r>
              <w:rPr>
                <w:w w:val="105"/>
              </w:rPr>
              <w:t>(n=9)</w:t>
            </w:r>
          </w:p>
          <w:p w:rsidR="00975324" w:rsidRDefault="00975324" w:rsidP="00975324">
            <w:pPr>
              <w:pStyle w:val="TableText"/>
            </w:pPr>
            <w:r>
              <w:rPr>
                <w:w w:val="105"/>
              </w:rPr>
              <w:t>435</w:t>
            </w:r>
          </w:p>
        </w:tc>
        <w:tc>
          <w:tcPr>
            <w:tcW w:w="762" w:type="pct"/>
          </w:tcPr>
          <w:p w:rsidR="00975324" w:rsidRDefault="00975324" w:rsidP="00975324">
            <w:pPr>
              <w:pStyle w:val="TableText"/>
              <w:rPr>
                <w:rFonts w:ascii="Times New Roman"/>
                <w:sz w:val="16"/>
              </w:rPr>
            </w:pPr>
          </w:p>
        </w:tc>
      </w:tr>
      <w:tr w:rsidR="00975324" w:rsidTr="00975324">
        <w:tc>
          <w:tcPr>
            <w:tcW w:w="1949" w:type="pct"/>
          </w:tcPr>
          <w:p w:rsidR="00975324" w:rsidRDefault="00975324" w:rsidP="00975324">
            <w:pPr>
              <w:pStyle w:val="TableText"/>
              <w:rPr>
                <w:b/>
              </w:rPr>
            </w:pPr>
            <w:r>
              <w:rPr>
                <w:b/>
                <w:w w:val="105"/>
              </w:rPr>
              <w:t>Dependent Youth Allowance</w:t>
            </w:r>
          </w:p>
          <w:p w:rsidR="00975324" w:rsidRDefault="00975324" w:rsidP="00975324">
            <w:pPr>
              <w:pStyle w:val="TableText"/>
              <w:rPr>
                <w:b/>
              </w:rPr>
            </w:pPr>
            <w:r>
              <w:rPr>
                <w:b/>
                <w:w w:val="105"/>
              </w:rPr>
              <w:t>recipients:</w:t>
            </w:r>
            <w:r>
              <w:rPr>
                <w:b/>
              </w:rPr>
              <w:t xml:space="preserve"> </w:t>
            </w:r>
            <w:r>
              <w:rPr>
                <w:b/>
                <w:w w:val="105"/>
              </w:rPr>
              <w:t>Total expenses $</w:t>
            </w:r>
          </w:p>
        </w:tc>
        <w:tc>
          <w:tcPr>
            <w:tcW w:w="763" w:type="pct"/>
          </w:tcPr>
          <w:p w:rsidR="00975324" w:rsidRDefault="00975324" w:rsidP="00975324">
            <w:pPr>
              <w:pStyle w:val="TableText"/>
            </w:pPr>
            <w:r>
              <w:rPr>
                <w:w w:val="105"/>
              </w:rPr>
              <w:t>347</w:t>
            </w:r>
          </w:p>
        </w:tc>
        <w:tc>
          <w:tcPr>
            <w:tcW w:w="763" w:type="pct"/>
          </w:tcPr>
          <w:p w:rsidR="00975324" w:rsidRDefault="00975324" w:rsidP="00975324">
            <w:pPr>
              <w:pStyle w:val="TableText"/>
            </w:pPr>
            <w:r>
              <w:rPr>
                <w:w w:val="105"/>
              </w:rPr>
              <w:t>-36</w:t>
            </w:r>
          </w:p>
        </w:tc>
        <w:tc>
          <w:tcPr>
            <w:tcW w:w="763" w:type="pct"/>
          </w:tcPr>
          <w:p w:rsidR="00975324" w:rsidRDefault="00975324" w:rsidP="00975324">
            <w:pPr>
              <w:pStyle w:val="TableText"/>
            </w:pPr>
            <w:r>
              <w:rPr>
                <w:w w:val="105"/>
              </w:rPr>
              <w:t>314</w:t>
            </w:r>
          </w:p>
        </w:tc>
        <w:tc>
          <w:tcPr>
            <w:tcW w:w="762" w:type="pct"/>
          </w:tcPr>
          <w:p w:rsidR="00975324" w:rsidRDefault="00975324" w:rsidP="00975324">
            <w:pPr>
              <w:pStyle w:val="TableText"/>
            </w:pPr>
            <w:r>
              <w:rPr>
                <w:w w:val="105"/>
              </w:rPr>
              <w:t>121</w:t>
            </w:r>
          </w:p>
        </w:tc>
      </w:tr>
      <w:tr w:rsidR="00975324" w:rsidTr="00975324">
        <w:tc>
          <w:tcPr>
            <w:tcW w:w="1949" w:type="pct"/>
          </w:tcPr>
          <w:p w:rsidR="00975324" w:rsidRDefault="00975324" w:rsidP="00975324">
            <w:pPr>
              <w:pStyle w:val="TableText"/>
              <w:rPr>
                <w:b/>
              </w:rPr>
            </w:pPr>
            <w:r>
              <w:rPr>
                <w:b/>
                <w:w w:val="105"/>
              </w:rPr>
              <w:t>Independent Youth Allowance</w:t>
            </w:r>
          </w:p>
          <w:p w:rsidR="00975324" w:rsidRDefault="00975324" w:rsidP="00975324">
            <w:pPr>
              <w:pStyle w:val="TableText"/>
              <w:rPr>
                <w:b/>
              </w:rPr>
            </w:pPr>
            <w:r>
              <w:rPr>
                <w:b/>
                <w:w w:val="105"/>
              </w:rPr>
              <w:t>recipients: Total income $</w:t>
            </w:r>
          </w:p>
        </w:tc>
        <w:tc>
          <w:tcPr>
            <w:tcW w:w="763" w:type="pct"/>
          </w:tcPr>
          <w:p w:rsidR="00975324" w:rsidRDefault="00975324" w:rsidP="00975324">
            <w:pPr>
              <w:pStyle w:val="TableText"/>
            </w:pPr>
            <w:r>
              <w:rPr>
                <w:w w:val="105"/>
              </w:rPr>
              <w:t>(n=89)</w:t>
            </w:r>
          </w:p>
          <w:p w:rsidR="00975324" w:rsidRDefault="00975324" w:rsidP="00975324">
            <w:pPr>
              <w:pStyle w:val="TableText"/>
            </w:pPr>
            <w:r>
              <w:rPr>
                <w:w w:val="105"/>
              </w:rPr>
              <w:t>415</w:t>
            </w:r>
          </w:p>
        </w:tc>
        <w:tc>
          <w:tcPr>
            <w:tcW w:w="763" w:type="pct"/>
          </w:tcPr>
          <w:p w:rsidR="00975324" w:rsidRDefault="00975324" w:rsidP="00975324">
            <w:pPr>
              <w:pStyle w:val="TableText"/>
              <w:rPr>
                <w:rFonts w:ascii="Times New Roman"/>
                <w:sz w:val="18"/>
              </w:rPr>
            </w:pPr>
          </w:p>
        </w:tc>
        <w:tc>
          <w:tcPr>
            <w:tcW w:w="763" w:type="pct"/>
          </w:tcPr>
          <w:p w:rsidR="00975324" w:rsidRDefault="00975324" w:rsidP="00975324">
            <w:pPr>
              <w:pStyle w:val="TableText"/>
            </w:pPr>
            <w:r>
              <w:rPr>
                <w:w w:val="105"/>
              </w:rPr>
              <w:t>(n=10)</w:t>
            </w:r>
          </w:p>
          <w:p w:rsidR="00975324" w:rsidRDefault="00975324" w:rsidP="00975324">
            <w:pPr>
              <w:pStyle w:val="TableText"/>
            </w:pPr>
            <w:r>
              <w:rPr>
                <w:w w:val="105"/>
              </w:rPr>
              <w:t>453</w:t>
            </w:r>
          </w:p>
        </w:tc>
        <w:tc>
          <w:tcPr>
            <w:tcW w:w="762" w:type="pct"/>
          </w:tcPr>
          <w:p w:rsidR="00975324" w:rsidRDefault="00975324" w:rsidP="00975324">
            <w:pPr>
              <w:pStyle w:val="TableText"/>
              <w:rPr>
                <w:rFonts w:ascii="Times New Roman"/>
                <w:sz w:val="18"/>
              </w:rPr>
            </w:pPr>
          </w:p>
        </w:tc>
      </w:tr>
      <w:tr w:rsidR="00975324" w:rsidTr="00975324">
        <w:tc>
          <w:tcPr>
            <w:tcW w:w="1949" w:type="pct"/>
          </w:tcPr>
          <w:p w:rsidR="00975324" w:rsidRDefault="00975324" w:rsidP="00975324">
            <w:pPr>
              <w:pStyle w:val="TableText"/>
              <w:rPr>
                <w:b/>
              </w:rPr>
            </w:pPr>
            <w:r>
              <w:rPr>
                <w:b/>
                <w:w w:val="105"/>
              </w:rPr>
              <w:t>Independent Youth Allowance</w:t>
            </w:r>
          </w:p>
          <w:p w:rsidR="00975324" w:rsidRDefault="00975324" w:rsidP="00975324">
            <w:pPr>
              <w:pStyle w:val="TableText"/>
              <w:rPr>
                <w:b/>
              </w:rPr>
            </w:pPr>
            <w:r>
              <w:rPr>
                <w:b/>
                <w:w w:val="105"/>
              </w:rPr>
              <w:t>recipients:</w:t>
            </w:r>
            <w:r>
              <w:rPr>
                <w:b/>
              </w:rPr>
              <w:t xml:space="preserve"> </w:t>
            </w:r>
            <w:r>
              <w:rPr>
                <w:b/>
                <w:w w:val="105"/>
              </w:rPr>
              <w:t>Total expenses $</w:t>
            </w:r>
          </w:p>
        </w:tc>
        <w:tc>
          <w:tcPr>
            <w:tcW w:w="763" w:type="pct"/>
          </w:tcPr>
          <w:p w:rsidR="00975324" w:rsidRDefault="00975324" w:rsidP="00975324">
            <w:pPr>
              <w:pStyle w:val="TableText"/>
            </w:pPr>
            <w:r>
              <w:rPr>
                <w:w w:val="105"/>
              </w:rPr>
              <w:t>363</w:t>
            </w:r>
          </w:p>
        </w:tc>
        <w:tc>
          <w:tcPr>
            <w:tcW w:w="763" w:type="pct"/>
          </w:tcPr>
          <w:p w:rsidR="00975324" w:rsidRDefault="00975324" w:rsidP="00975324">
            <w:pPr>
              <w:pStyle w:val="TableText"/>
            </w:pPr>
            <w:r>
              <w:rPr>
                <w:w w:val="105"/>
              </w:rPr>
              <w:t>52</w:t>
            </w:r>
          </w:p>
        </w:tc>
        <w:tc>
          <w:tcPr>
            <w:tcW w:w="763" w:type="pct"/>
          </w:tcPr>
          <w:p w:rsidR="00975324" w:rsidRDefault="00975324" w:rsidP="00975324">
            <w:pPr>
              <w:pStyle w:val="TableText"/>
            </w:pPr>
            <w:r>
              <w:rPr>
                <w:w w:val="105"/>
              </w:rPr>
              <w:t>362</w:t>
            </w:r>
          </w:p>
        </w:tc>
        <w:tc>
          <w:tcPr>
            <w:tcW w:w="762" w:type="pct"/>
          </w:tcPr>
          <w:p w:rsidR="00975324" w:rsidRDefault="00975324" w:rsidP="00975324">
            <w:pPr>
              <w:pStyle w:val="TableText"/>
            </w:pPr>
            <w:r>
              <w:rPr>
                <w:w w:val="105"/>
              </w:rPr>
              <w:t>91</w:t>
            </w:r>
          </w:p>
        </w:tc>
      </w:tr>
    </w:tbl>
    <w:p w:rsidR="00975324" w:rsidRDefault="00975324" w:rsidP="002024C8"/>
    <w:p w:rsidR="00AE5978" w:rsidRDefault="00AE5978" w:rsidP="00AE5978">
      <w:r>
        <w:t>In Table 7 it is interesting to note that for those respondents receiving a dependent Youth Allowance who have relocated, the students appear to be living beyond their means, with overall expenses exceeding their income. It is more probable that this group of respondents will be without a partner or children and the data reflects individual circumstances. It is also likely that scholarships (excluded from weekly income data) contribute substantially to this shortfall as those who relocate are more likely to receive scholarships than those who do not relocate. In comparison, students who have relocated but received independent Youth Allowance have higher employment income to offset expenses.</w:t>
      </w:r>
    </w:p>
    <w:p w:rsidR="00AE5978" w:rsidRDefault="00AE5978" w:rsidP="00AE5978">
      <w:r>
        <w:t>For students aged 25 years and over it is difficult to interpret whether students are living beyond their means as 68% of respondents have partners, and any household expenditure reflected in the survey would reflect a mixture of individual and shared circumstances, particularly for utilities, consumables and elective expenditures. Partner personal expenditures were not part of the survey.</w:t>
      </w:r>
    </w:p>
    <w:p w:rsidR="00AE5978" w:rsidRDefault="00AE5978" w:rsidP="00AE5978">
      <w:r>
        <w:t>Regarding costs associated with attending university, course fees represent the largest expense. The majority of respondents (84%) indicated that they are currently deferring course fees through the HECS-HELP loan system, with a minority (16%) of students paying part or all of their course fees upfront.</w:t>
      </w:r>
    </w:p>
    <w:p w:rsidR="00AE5978" w:rsidRDefault="00AE5978" w:rsidP="00AE5978">
      <w:r>
        <w:t>For other study expenses, relocated and non-relocated students spent similar amounts of money on textbooks and stationery per semester; however non-relocated students spent a significantly larger portion of their money on ‘other’ things related to study. A major contributor to these additional expenses relates to the need for non-relocated students to attend workshops and assessments in the city, as well as the lack of available competitive services, resulting in increased costs for services such as printing.</w:t>
      </w:r>
    </w:p>
    <w:p w:rsidR="00AE5978" w:rsidRDefault="00AE5978" w:rsidP="00AE5978">
      <w:pPr>
        <w:pStyle w:val="Quote"/>
      </w:pPr>
      <w:r>
        <w:t xml:space="preserve">I have to prepare for the workshops … the travel down and accommodation. </w:t>
      </w:r>
      <w:r w:rsidRPr="00AE5978">
        <w:rPr>
          <w:i w:val="0"/>
        </w:rPr>
        <w:t>Lisa</w:t>
      </w:r>
    </w:p>
    <w:p w:rsidR="00AE5978" w:rsidRDefault="00AE5978" w:rsidP="00AE5978">
      <w:pPr>
        <w:pStyle w:val="Quote"/>
        <w:rPr>
          <w:i w:val="0"/>
        </w:rPr>
      </w:pPr>
      <w:r>
        <w:t xml:space="preserve">You don’t have Officeworks here ... and because you’re online I need a lot of printing but we can’t get cartridges up here, so you have to prepare in advance and cartridges aren’t cheap. The internet isn’t as good or as fast and always cuts out … I also need books and postage on top is sometimes $20 for a book and you need four a semester. </w:t>
      </w:r>
      <w:r w:rsidRPr="00AE5978">
        <w:rPr>
          <w:i w:val="0"/>
        </w:rPr>
        <w:t>Willow</w:t>
      </w:r>
    </w:p>
    <w:p w:rsidR="000B5AC4" w:rsidRPr="000B5AC4" w:rsidRDefault="000B5AC4" w:rsidP="000B5AC4"/>
    <w:p w:rsidR="000B5AC4" w:rsidRDefault="000B5AC4" w:rsidP="000B5AC4">
      <w:pPr>
        <w:pStyle w:val="TableTitles"/>
      </w:pPr>
      <w:bookmarkStart w:id="46" w:name="_Toc517270502"/>
      <w:r>
        <w:t xml:space="preserve">Table </w:t>
      </w:r>
      <w:fldSimple w:instr=" SEQ Table \* ARABIC ">
        <w:r w:rsidR="00766065">
          <w:rPr>
            <w:noProof/>
          </w:rPr>
          <w:t>8</w:t>
        </w:r>
      </w:fldSimple>
      <w:r>
        <w:t xml:space="preserve">: </w:t>
      </w:r>
      <w:r w:rsidRPr="00DC6490">
        <w:t>Semester study-related costs for all respondents</w:t>
      </w:r>
      <w:bookmarkEnd w:id="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1E0" w:firstRow="1" w:lastRow="1" w:firstColumn="1" w:lastColumn="1" w:noHBand="0" w:noVBand="0"/>
        <w:tblCaption w:val="Table 8"/>
        <w:tblDescription w:val="Table displaying the semester study-related costs for all respondents, split into: Under 25 (All, Relocated and Non-relocated); and 25+ (All, Relocated and Non-relocated)."/>
      </w:tblPr>
      <w:tblGrid>
        <w:gridCol w:w="2411"/>
        <w:gridCol w:w="1103"/>
        <w:gridCol w:w="1102"/>
        <w:gridCol w:w="1102"/>
        <w:gridCol w:w="1102"/>
        <w:gridCol w:w="1102"/>
        <w:gridCol w:w="1099"/>
      </w:tblGrid>
      <w:tr w:rsidR="000B5AC4" w:rsidRPr="006A3B93" w:rsidTr="001638CE">
        <w:trPr>
          <w:tblHeader/>
        </w:trPr>
        <w:tc>
          <w:tcPr>
            <w:tcW w:w="1336" w:type="pct"/>
            <w:tcBorders>
              <w:top w:val="nil"/>
              <w:left w:val="nil"/>
              <w:bottom w:val="nil"/>
              <w:right w:val="single" w:sz="4" w:space="0" w:color="auto"/>
            </w:tcBorders>
            <w:shd w:val="clear" w:color="auto" w:fill="auto"/>
          </w:tcPr>
          <w:p w:rsidR="000B5AC4" w:rsidRPr="006A3B93" w:rsidRDefault="000B5AC4" w:rsidP="001638CE">
            <w:pPr>
              <w:pStyle w:val="TableText"/>
            </w:pPr>
          </w:p>
        </w:tc>
        <w:tc>
          <w:tcPr>
            <w:tcW w:w="611" w:type="pct"/>
            <w:tcBorders>
              <w:top w:val="single" w:sz="4" w:space="0" w:color="auto"/>
              <w:left w:val="single" w:sz="4" w:space="0" w:color="auto"/>
              <w:bottom w:val="single" w:sz="4" w:space="0" w:color="auto"/>
              <w:right w:val="nil"/>
            </w:tcBorders>
            <w:shd w:val="clear" w:color="auto" w:fill="5B9BD5" w:themeFill="accent1"/>
          </w:tcPr>
          <w:p w:rsidR="000B5AC4" w:rsidRPr="00595829" w:rsidRDefault="000B5AC4" w:rsidP="001638CE">
            <w:pPr>
              <w:pStyle w:val="TableText"/>
              <w:rPr>
                <w:b/>
                <w:color w:val="FFFFFF" w:themeColor="background1"/>
              </w:rPr>
            </w:pPr>
            <w:r w:rsidRPr="00595829">
              <w:rPr>
                <w:b/>
                <w:color w:val="FFFFFF" w:themeColor="background1"/>
              </w:rPr>
              <w:t>Under 25</w:t>
            </w:r>
          </w:p>
        </w:tc>
        <w:tc>
          <w:tcPr>
            <w:tcW w:w="611" w:type="pct"/>
            <w:tcBorders>
              <w:top w:val="single" w:sz="4" w:space="0" w:color="auto"/>
              <w:left w:val="nil"/>
              <w:bottom w:val="single" w:sz="4" w:space="0" w:color="auto"/>
              <w:right w:val="nil"/>
            </w:tcBorders>
            <w:shd w:val="clear" w:color="auto" w:fill="5B9BD5" w:themeFill="accent1"/>
          </w:tcPr>
          <w:p w:rsidR="000B5AC4" w:rsidRPr="00595829" w:rsidRDefault="000B5AC4" w:rsidP="001638CE">
            <w:pPr>
              <w:pStyle w:val="TableText"/>
              <w:rPr>
                <w:b/>
                <w:color w:val="FFFFFF" w:themeColor="background1"/>
              </w:rPr>
            </w:pPr>
          </w:p>
        </w:tc>
        <w:tc>
          <w:tcPr>
            <w:tcW w:w="611" w:type="pct"/>
            <w:tcBorders>
              <w:top w:val="single" w:sz="4" w:space="0" w:color="auto"/>
              <w:left w:val="nil"/>
              <w:bottom w:val="single" w:sz="4" w:space="0" w:color="auto"/>
              <w:right w:val="single" w:sz="4" w:space="0" w:color="auto"/>
            </w:tcBorders>
            <w:shd w:val="clear" w:color="auto" w:fill="5B9BD5" w:themeFill="accent1"/>
          </w:tcPr>
          <w:p w:rsidR="000B5AC4" w:rsidRPr="00595829" w:rsidRDefault="000B5AC4" w:rsidP="001638CE">
            <w:pPr>
              <w:pStyle w:val="TableText"/>
              <w:rPr>
                <w:b/>
                <w:color w:val="FFFFFF" w:themeColor="background1"/>
              </w:rPr>
            </w:pPr>
          </w:p>
        </w:tc>
        <w:tc>
          <w:tcPr>
            <w:tcW w:w="611" w:type="pct"/>
            <w:tcBorders>
              <w:top w:val="single" w:sz="4" w:space="0" w:color="auto"/>
              <w:left w:val="single" w:sz="4" w:space="0" w:color="auto"/>
              <w:bottom w:val="single" w:sz="4" w:space="0" w:color="auto"/>
              <w:right w:val="nil"/>
            </w:tcBorders>
            <w:shd w:val="clear" w:color="auto" w:fill="5B9BD5" w:themeFill="accent1"/>
          </w:tcPr>
          <w:p w:rsidR="000B5AC4" w:rsidRPr="00595829" w:rsidRDefault="000B5AC4" w:rsidP="001638CE">
            <w:pPr>
              <w:pStyle w:val="TableText"/>
              <w:rPr>
                <w:b/>
                <w:color w:val="FFFFFF" w:themeColor="background1"/>
              </w:rPr>
            </w:pPr>
            <w:r w:rsidRPr="00595829">
              <w:rPr>
                <w:b/>
                <w:color w:val="FFFFFF" w:themeColor="background1"/>
              </w:rPr>
              <w:t>25+</w:t>
            </w:r>
          </w:p>
        </w:tc>
        <w:tc>
          <w:tcPr>
            <w:tcW w:w="611" w:type="pct"/>
            <w:tcBorders>
              <w:top w:val="single" w:sz="4" w:space="0" w:color="auto"/>
              <w:left w:val="nil"/>
              <w:bottom w:val="single" w:sz="4" w:space="0" w:color="auto"/>
              <w:right w:val="nil"/>
            </w:tcBorders>
            <w:shd w:val="clear" w:color="auto" w:fill="5B9BD5" w:themeFill="accent1"/>
          </w:tcPr>
          <w:p w:rsidR="000B5AC4" w:rsidRPr="00595829" w:rsidRDefault="000B5AC4" w:rsidP="001638CE">
            <w:pPr>
              <w:pStyle w:val="TableText"/>
              <w:rPr>
                <w:b/>
                <w:color w:val="FFFFFF" w:themeColor="background1"/>
              </w:rPr>
            </w:pPr>
          </w:p>
        </w:tc>
        <w:tc>
          <w:tcPr>
            <w:tcW w:w="609" w:type="pct"/>
            <w:tcBorders>
              <w:top w:val="single" w:sz="4" w:space="0" w:color="auto"/>
              <w:left w:val="nil"/>
              <w:bottom w:val="single" w:sz="4" w:space="0" w:color="auto"/>
              <w:right w:val="single" w:sz="4" w:space="0" w:color="auto"/>
            </w:tcBorders>
            <w:shd w:val="clear" w:color="auto" w:fill="5B9BD5" w:themeFill="accent1"/>
          </w:tcPr>
          <w:p w:rsidR="000B5AC4" w:rsidRPr="00595829" w:rsidRDefault="000B5AC4" w:rsidP="001638CE">
            <w:pPr>
              <w:pStyle w:val="TableText"/>
              <w:rPr>
                <w:b/>
                <w:color w:val="FFFFFF" w:themeColor="background1"/>
              </w:rPr>
            </w:pPr>
          </w:p>
        </w:tc>
      </w:tr>
      <w:tr w:rsidR="000B5AC4" w:rsidRPr="006A3B93" w:rsidTr="001638CE">
        <w:trPr>
          <w:tblHeader/>
        </w:trPr>
        <w:tc>
          <w:tcPr>
            <w:tcW w:w="1336" w:type="pct"/>
            <w:tcBorders>
              <w:top w:val="nil"/>
              <w:left w:val="nil"/>
              <w:bottom w:val="single" w:sz="4" w:space="0" w:color="auto"/>
              <w:right w:val="single" w:sz="4" w:space="0" w:color="auto"/>
            </w:tcBorders>
            <w:shd w:val="clear" w:color="auto" w:fill="auto"/>
          </w:tcPr>
          <w:p w:rsidR="000B5AC4" w:rsidRPr="006A3B93" w:rsidRDefault="000B5AC4" w:rsidP="001638CE">
            <w:pPr>
              <w:pStyle w:val="TableText"/>
            </w:pPr>
          </w:p>
        </w:tc>
        <w:tc>
          <w:tcPr>
            <w:tcW w:w="611" w:type="pct"/>
            <w:tcBorders>
              <w:top w:val="single" w:sz="4" w:space="0" w:color="auto"/>
              <w:left w:val="single" w:sz="4" w:space="0" w:color="auto"/>
              <w:bottom w:val="single" w:sz="4" w:space="0" w:color="auto"/>
            </w:tcBorders>
            <w:shd w:val="clear" w:color="auto" w:fill="BDD6EE" w:themeFill="accent1" w:themeFillTint="66"/>
          </w:tcPr>
          <w:p w:rsidR="000B5AC4" w:rsidRPr="00595829" w:rsidRDefault="000B5AC4" w:rsidP="001638CE">
            <w:pPr>
              <w:pStyle w:val="TableText"/>
              <w:rPr>
                <w:b/>
              </w:rPr>
            </w:pPr>
            <w:r w:rsidRPr="00595829">
              <w:rPr>
                <w:b/>
              </w:rPr>
              <w:t>All</w:t>
            </w:r>
          </w:p>
          <w:p w:rsidR="000B5AC4" w:rsidRPr="00595829" w:rsidRDefault="000B5AC4" w:rsidP="001638CE">
            <w:pPr>
              <w:pStyle w:val="TableText"/>
              <w:rPr>
                <w:b/>
              </w:rPr>
            </w:pPr>
            <w:r w:rsidRPr="00595829">
              <w:rPr>
                <w:b/>
              </w:rPr>
              <w:t>N=</w:t>
            </w:r>
            <w:r>
              <w:rPr>
                <w:b/>
              </w:rPr>
              <w:t>364</w:t>
            </w:r>
          </w:p>
        </w:tc>
        <w:tc>
          <w:tcPr>
            <w:tcW w:w="611" w:type="pct"/>
            <w:tcBorders>
              <w:top w:val="single" w:sz="4" w:space="0" w:color="auto"/>
              <w:bottom w:val="single" w:sz="4" w:space="0" w:color="auto"/>
            </w:tcBorders>
            <w:shd w:val="clear" w:color="auto" w:fill="BDD6EE" w:themeFill="accent1" w:themeFillTint="66"/>
          </w:tcPr>
          <w:p w:rsidR="000B5AC4" w:rsidRPr="00595829" w:rsidRDefault="000B5AC4" w:rsidP="001638CE">
            <w:pPr>
              <w:pStyle w:val="TableText"/>
              <w:rPr>
                <w:b/>
              </w:rPr>
            </w:pPr>
            <w:r w:rsidRPr="00595829">
              <w:rPr>
                <w:b/>
              </w:rPr>
              <w:t>Relocated</w:t>
            </w:r>
          </w:p>
          <w:p w:rsidR="000B5AC4" w:rsidRPr="00595829" w:rsidRDefault="000B5AC4" w:rsidP="001638CE">
            <w:pPr>
              <w:pStyle w:val="TableText"/>
              <w:rPr>
                <w:b/>
              </w:rPr>
            </w:pPr>
            <w:r w:rsidRPr="00595829">
              <w:rPr>
                <w:b/>
              </w:rPr>
              <w:t>n=</w:t>
            </w:r>
            <w:r>
              <w:rPr>
                <w:b/>
              </w:rPr>
              <w:t>299</w:t>
            </w:r>
          </w:p>
        </w:tc>
        <w:tc>
          <w:tcPr>
            <w:tcW w:w="611" w:type="pct"/>
            <w:tcBorders>
              <w:top w:val="single" w:sz="4" w:space="0" w:color="auto"/>
              <w:bottom w:val="single" w:sz="4" w:space="0" w:color="auto"/>
            </w:tcBorders>
            <w:shd w:val="clear" w:color="auto" w:fill="BDD6EE" w:themeFill="accent1" w:themeFillTint="66"/>
          </w:tcPr>
          <w:p w:rsidR="000B5AC4" w:rsidRPr="00595829" w:rsidRDefault="000B5AC4" w:rsidP="001638CE">
            <w:pPr>
              <w:pStyle w:val="TableText"/>
              <w:rPr>
                <w:b/>
              </w:rPr>
            </w:pPr>
            <w:r w:rsidRPr="00595829">
              <w:rPr>
                <w:b/>
              </w:rPr>
              <w:t>Non-</w:t>
            </w:r>
          </w:p>
          <w:p w:rsidR="000B5AC4" w:rsidRPr="00595829" w:rsidRDefault="000B5AC4" w:rsidP="001638CE">
            <w:pPr>
              <w:pStyle w:val="TableText"/>
              <w:rPr>
                <w:b/>
              </w:rPr>
            </w:pPr>
            <w:r w:rsidRPr="00595829">
              <w:rPr>
                <w:b/>
              </w:rPr>
              <w:t>relocated n=</w:t>
            </w:r>
            <w:r>
              <w:rPr>
                <w:b/>
              </w:rPr>
              <w:t>65</w:t>
            </w:r>
          </w:p>
        </w:tc>
        <w:tc>
          <w:tcPr>
            <w:tcW w:w="611" w:type="pct"/>
            <w:tcBorders>
              <w:top w:val="single" w:sz="4" w:space="0" w:color="auto"/>
              <w:bottom w:val="single" w:sz="4" w:space="0" w:color="auto"/>
            </w:tcBorders>
            <w:shd w:val="clear" w:color="auto" w:fill="BDD6EE" w:themeFill="accent1" w:themeFillTint="66"/>
          </w:tcPr>
          <w:p w:rsidR="000B5AC4" w:rsidRPr="00595829" w:rsidRDefault="000B5AC4" w:rsidP="001638CE">
            <w:pPr>
              <w:pStyle w:val="TableText"/>
              <w:rPr>
                <w:b/>
              </w:rPr>
            </w:pPr>
            <w:r w:rsidRPr="00595829">
              <w:rPr>
                <w:b/>
              </w:rPr>
              <w:t>All</w:t>
            </w:r>
          </w:p>
          <w:p w:rsidR="000B5AC4" w:rsidRPr="00595829" w:rsidRDefault="000B5AC4" w:rsidP="001638CE">
            <w:pPr>
              <w:pStyle w:val="TableText"/>
              <w:rPr>
                <w:b/>
              </w:rPr>
            </w:pPr>
            <w:r w:rsidRPr="00595829">
              <w:rPr>
                <w:b/>
              </w:rPr>
              <w:t>N=</w:t>
            </w:r>
            <w:r>
              <w:rPr>
                <w:b/>
              </w:rPr>
              <w:t>231</w:t>
            </w:r>
          </w:p>
        </w:tc>
        <w:tc>
          <w:tcPr>
            <w:tcW w:w="611" w:type="pct"/>
            <w:tcBorders>
              <w:top w:val="single" w:sz="4" w:space="0" w:color="auto"/>
              <w:bottom w:val="single" w:sz="4" w:space="0" w:color="auto"/>
            </w:tcBorders>
            <w:shd w:val="clear" w:color="auto" w:fill="BDD6EE" w:themeFill="accent1" w:themeFillTint="66"/>
          </w:tcPr>
          <w:p w:rsidR="000B5AC4" w:rsidRPr="00595829" w:rsidRDefault="000B5AC4" w:rsidP="001638CE">
            <w:pPr>
              <w:pStyle w:val="TableText"/>
              <w:rPr>
                <w:b/>
              </w:rPr>
            </w:pPr>
            <w:r w:rsidRPr="00595829">
              <w:rPr>
                <w:b/>
              </w:rPr>
              <w:t>Relocated</w:t>
            </w:r>
          </w:p>
          <w:p w:rsidR="000B5AC4" w:rsidRPr="00595829" w:rsidRDefault="000B5AC4" w:rsidP="001638CE">
            <w:pPr>
              <w:pStyle w:val="TableText"/>
              <w:rPr>
                <w:b/>
              </w:rPr>
            </w:pPr>
            <w:r>
              <w:rPr>
                <w:b/>
              </w:rPr>
              <w:t>n=25</w:t>
            </w:r>
          </w:p>
        </w:tc>
        <w:tc>
          <w:tcPr>
            <w:tcW w:w="609" w:type="pct"/>
            <w:tcBorders>
              <w:top w:val="single" w:sz="4" w:space="0" w:color="auto"/>
              <w:bottom w:val="single" w:sz="4" w:space="0" w:color="auto"/>
            </w:tcBorders>
            <w:shd w:val="clear" w:color="auto" w:fill="BDD6EE" w:themeFill="accent1" w:themeFillTint="66"/>
          </w:tcPr>
          <w:p w:rsidR="000B5AC4" w:rsidRPr="00595829" w:rsidRDefault="000B5AC4" w:rsidP="001638CE">
            <w:pPr>
              <w:pStyle w:val="TableText"/>
              <w:rPr>
                <w:b/>
              </w:rPr>
            </w:pPr>
            <w:r w:rsidRPr="00595829">
              <w:rPr>
                <w:b/>
              </w:rPr>
              <w:t>Non-</w:t>
            </w:r>
          </w:p>
          <w:p w:rsidR="000B5AC4" w:rsidRPr="00595829" w:rsidRDefault="000B5AC4" w:rsidP="001638CE">
            <w:pPr>
              <w:pStyle w:val="TableText"/>
              <w:rPr>
                <w:b/>
              </w:rPr>
            </w:pPr>
            <w:r>
              <w:rPr>
                <w:b/>
              </w:rPr>
              <w:t>relocated n=206</w:t>
            </w:r>
          </w:p>
        </w:tc>
      </w:tr>
      <w:tr w:rsidR="000B5AC4" w:rsidRPr="00595829" w:rsidTr="001638CE">
        <w:tc>
          <w:tcPr>
            <w:tcW w:w="1336" w:type="pct"/>
            <w:tcBorders>
              <w:top w:val="single" w:sz="4" w:space="0" w:color="auto"/>
              <w:left w:val="single" w:sz="4" w:space="0" w:color="auto"/>
              <w:bottom w:val="single" w:sz="4" w:space="0" w:color="auto"/>
              <w:right w:val="nil"/>
            </w:tcBorders>
            <w:shd w:val="clear" w:color="auto" w:fill="F2F2F2" w:themeFill="background1" w:themeFillShade="F2"/>
          </w:tcPr>
          <w:p w:rsidR="000B5AC4" w:rsidRPr="00595829" w:rsidRDefault="000B5AC4" w:rsidP="000B5AC4">
            <w:pPr>
              <w:pStyle w:val="TableText"/>
              <w:rPr>
                <w:b/>
              </w:rPr>
            </w:pPr>
            <w:r w:rsidRPr="00595829">
              <w:rPr>
                <w:b/>
              </w:rPr>
              <w:t>T</w:t>
            </w:r>
            <w:r>
              <w:rPr>
                <w:b/>
              </w:rPr>
              <w:t>extbooks</w:t>
            </w:r>
          </w:p>
        </w:tc>
        <w:tc>
          <w:tcPr>
            <w:tcW w:w="611" w:type="pct"/>
            <w:tcBorders>
              <w:top w:val="single" w:sz="4" w:space="0" w:color="auto"/>
              <w:left w:val="nil"/>
              <w:bottom w:val="single" w:sz="4" w:space="0" w:color="auto"/>
              <w:right w:val="nil"/>
            </w:tcBorders>
            <w:shd w:val="clear" w:color="auto" w:fill="F2F2F2" w:themeFill="background1" w:themeFillShade="F2"/>
          </w:tcPr>
          <w:p w:rsidR="000B5AC4" w:rsidRPr="00595829" w:rsidRDefault="000B5AC4" w:rsidP="001638CE">
            <w:pPr>
              <w:pStyle w:val="TableText"/>
            </w:pPr>
          </w:p>
        </w:tc>
        <w:tc>
          <w:tcPr>
            <w:tcW w:w="611" w:type="pct"/>
            <w:tcBorders>
              <w:top w:val="single" w:sz="4" w:space="0" w:color="auto"/>
              <w:left w:val="nil"/>
              <w:bottom w:val="single" w:sz="4" w:space="0" w:color="auto"/>
              <w:right w:val="nil"/>
            </w:tcBorders>
            <w:shd w:val="clear" w:color="auto" w:fill="F2F2F2" w:themeFill="background1" w:themeFillShade="F2"/>
          </w:tcPr>
          <w:p w:rsidR="000B5AC4" w:rsidRPr="00595829" w:rsidRDefault="000B5AC4" w:rsidP="001638CE">
            <w:pPr>
              <w:pStyle w:val="TableText"/>
            </w:pPr>
          </w:p>
        </w:tc>
        <w:tc>
          <w:tcPr>
            <w:tcW w:w="611" w:type="pct"/>
            <w:tcBorders>
              <w:top w:val="single" w:sz="4" w:space="0" w:color="auto"/>
              <w:left w:val="nil"/>
              <w:bottom w:val="single" w:sz="4" w:space="0" w:color="auto"/>
              <w:right w:val="nil"/>
            </w:tcBorders>
            <w:shd w:val="clear" w:color="auto" w:fill="F2F2F2" w:themeFill="background1" w:themeFillShade="F2"/>
          </w:tcPr>
          <w:p w:rsidR="000B5AC4" w:rsidRPr="00595829" w:rsidRDefault="000B5AC4" w:rsidP="001638CE">
            <w:pPr>
              <w:pStyle w:val="TableText"/>
            </w:pPr>
          </w:p>
        </w:tc>
        <w:tc>
          <w:tcPr>
            <w:tcW w:w="611" w:type="pct"/>
            <w:tcBorders>
              <w:top w:val="single" w:sz="4" w:space="0" w:color="auto"/>
              <w:left w:val="nil"/>
              <w:bottom w:val="single" w:sz="4" w:space="0" w:color="auto"/>
              <w:right w:val="nil"/>
            </w:tcBorders>
            <w:shd w:val="clear" w:color="auto" w:fill="F2F2F2" w:themeFill="background1" w:themeFillShade="F2"/>
          </w:tcPr>
          <w:p w:rsidR="000B5AC4" w:rsidRPr="00595829" w:rsidRDefault="000B5AC4" w:rsidP="001638CE">
            <w:pPr>
              <w:pStyle w:val="TableText"/>
            </w:pPr>
          </w:p>
        </w:tc>
        <w:tc>
          <w:tcPr>
            <w:tcW w:w="611" w:type="pct"/>
            <w:tcBorders>
              <w:top w:val="single" w:sz="4" w:space="0" w:color="auto"/>
              <w:left w:val="nil"/>
              <w:bottom w:val="single" w:sz="4" w:space="0" w:color="auto"/>
              <w:right w:val="nil"/>
            </w:tcBorders>
            <w:shd w:val="clear" w:color="auto" w:fill="F2F2F2" w:themeFill="background1" w:themeFillShade="F2"/>
          </w:tcPr>
          <w:p w:rsidR="000B5AC4" w:rsidRPr="00595829" w:rsidRDefault="000B5AC4" w:rsidP="001638CE">
            <w:pPr>
              <w:pStyle w:val="TableText"/>
            </w:pPr>
          </w:p>
        </w:tc>
        <w:tc>
          <w:tcPr>
            <w:tcW w:w="609" w:type="pct"/>
            <w:tcBorders>
              <w:top w:val="single" w:sz="4" w:space="0" w:color="auto"/>
              <w:left w:val="nil"/>
              <w:bottom w:val="single" w:sz="4" w:space="0" w:color="auto"/>
              <w:right w:val="single" w:sz="4" w:space="0" w:color="auto"/>
            </w:tcBorders>
            <w:shd w:val="clear" w:color="auto" w:fill="F2F2F2" w:themeFill="background1" w:themeFillShade="F2"/>
          </w:tcPr>
          <w:p w:rsidR="000B5AC4" w:rsidRPr="00595829" w:rsidRDefault="000B5AC4" w:rsidP="001638CE">
            <w:pPr>
              <w:pStyle w:val="TableText"/>
            </w:pPr>
          </w:p>
        </w:tc>
      </w:tr>
      <w:tr w:rsidR="000B5AC4" w:rsidRPr="006A3B93" w:rsidTr="001638CE">
        <w:tc>
          <w:tcPr>
            <w:tcW w:w="1336" w:type="pct"/>
            <w:tcBorders>
              <w:top w:val="single" w:sz="4" w:space="0" w:color="auto"/>
            </w:tcBorders>
          </w:tcPr>
          <w:p w:rsidR="000B5AC4" w:rsidRPr="006A3B93" w:rsidRDefault="000B5AC4" w:rsidP="000B5AC4">
            <w:pPr>
              <w:pStyle w:val="TableText"/>
            </w:pPr>
            <w:r>
              <w:t>$</w:t>
            </w:r>
          </w:p>
        </w:tc>
        <w:tc>
          <w:tcPr>
            <w:tcW w:w="611" w:type="pct"/>
            <w:tcBorders>
              <w:top w:val="single" w:sz="4" w:space="0" w:color="auto"/>
            </w:tcBorders>
          </w:tcPr>
          <w:p w:rsidR="000B5AC4" w:rsidRDefault="000B5AC4" w:rsidP="001638CE">
            <w:pPr>
              <w:pStyle w:val="TableText"/>
            </w:pPr>
            <w:r>
              <w:t>317</w:t>
            </w:r>
          </w:p>
        </w:tc>
        <w:tc>
          <w:tcPr>
            <w:tcW w:w="611" w:type="pct"/>
            <w:tcBorders>
              <w:top w:val="single" w:sz="4" w:space="0" w:color="auto"/>
            </w:tcBorders>
          </w:tcPr>
          <w:p w:rsidR="000B5AC4" w:rsidRDefault="000B5AC4" w:rsidP="001638CE">
            <w:pPr>
              <w:pStyle w:val="TableText"/>
            </w:pPr>
            <w:r>
              <w:t>325</w:t>
            </w:r>
          </w:p>
        </w:tc>
        <w:tc>
          <w:tcPr>
            <w:tcW w:w="611" w:type="pct"/>
            <w:tcBorders>
              <w:top w:val="single" w:sz="4" w:space="0" w:color="auto"/>
            </w:tcBorders>
          </w:tcPr>
          <w:p w:rsidR="000B5AC4" w:rsidRDefault="000B5AC4" w:rsidP="001638CE">
            <w:pPr>
              <w:pStyle w:val="TableText"/>
            </w:pPr>
            <w:r>
              <w:t>355</w:t>
            </w:r>
          </w:p>
        </w:tc>
        <w:tc>
          <w:tcPr>
            <w:tcW w:w="611" w:type="pct"/>
            <w:tcBorders>
              <w:top w:val="single" w:sz="4" w:space="0" w:color="auto"/>
            </w:tcBorders>
          </w:tcPr>
          <w:p w:rsidR="000B5AC4" w:rsidRDefault="000B5AC4" w:rsidP="001638CE">
            <w:pPr>
              <w:pStyle w:val="TableText"/>
            </w:pPr>
            <w:r>
              <w:t>296</w:t>
            </w:r>
          </w:p>
        </w:tc>
        <w:tc>
          <w:tcPr>
            <w:tcW w:w="611" w:type="pct"/>
            <w:tcBorders>
              <w:top w:val="single" w:sz="4" w:space="0" w:color="auto"/>
            </w:tcBorders>
          </w:tcPr>
          <w:p w:rsidR="000B5AC4" w:rsidRDefault="000B5AC4" w:rsidP="001638CE">
            <w:pPr>
              <w:pStyle w:val="TableText"/>
            </w:pPr>
            <w:r>
              <w:t>430</w:t>
            </w:r>
          </w:p>
        </w:tc>
        <w:tc>
          <w:tcPr>
            <w:tcW w:w="609" w:type="pct"/>
            <w:tcBorders>
              <w:top w:val="single" w:sz="4" w:space="0" w:color="auto"/>
            </w:tcBorders>
          </w:tcPr>
          <w:p w:rsidR="000B5AC4" w:rsidRDefault="000B5AC4" w:rsidP="001638CE">
            <w:pPr>
              <w:pStyle w:val="TableText"/>
            </w:pPr>
            <w:r>
              <w:t>278</w:t>
            </w:r>
          </w:p>
        </w:tc>
      </w:tr>
      <w:tr w:rsidR="000B5AC4" w:rsidRPr="006A3B93" w:rsidTr="001638CE">
        <w:tc>
          <w:tcPr>
            <w:tcW w:w="1336" w:type="pct"/>
            <w:tcBorders>
              <w:bottom w:val="single" w:sz="4" w:space="0" w:color="auto"/>
            </w:tcBorders>
          </w:tcPr>
          <w:p w:rsidR="000B5AC4" w:rsidRPr="006A3B93" w:rsidRDefault="000B5AC4" w:rsidP="001638CE">
            <w:pPr>
              <w:pStyle w:val="TableText"/>
            </w:pPr>
            <w:r>
              <w:t>%</w:t>
            </w:r>
          </w:p>
        </w:tc>
        <w:tc>
          <w:tcPr>
            <w:tcW w:w="611" w:type="pct"/>
            <w:tcBorders>
              <w:bottom w:val="single" w:sz="4" w:space="0" w:color="auto"/>
            </w:tcBorders>
          </w:tcPr>
          <w:p w:rsidR="000B5AC4" w:rsidRDefault="000B5AC4" w:rsidP="001638CE">
            <w:pPr>
              <w:pStyle w:val="TableText"/>
            </w:pPr>
            <w:r>
              <w:t>86.5</w:t>
            </w:r>
          </w:p>
        </w:tc>
        <w:tc>
          <w:tcPr>
            <w:tcW w:w="611" w:type="pct"/>
            <w:tcBorders>
              <w:bottom w:val="single" w:sz="4" w:space="0" w:color="auto"/>
            </w:tcBorders>
          </w:tcPr>
          <w:p w:rsidR="000B5AC4" w:rsidRDefault="000B5AC4" w:rsidP="001638CE">
            <w:pPr>
              <w:pStyle w:val="TableText"/>
            </w:pPr>
            <w:r>
              <w:t>86.9</w:t>
            </w:r>
          </w:p>
        </w:tc>
        <w:tc>
          <w:tcPr>
            <w:tcW w:w="611" w:type="pct"/>
            <w:tcBorders>
              <w:bottom w:val="single" w:sz="4" w:space="0" w:color="auto"/>
            </w:tcBorders>
          </w:tcPr>
          <w:p w:rsidR="000B5AC4" w:rsidRDefault="000B5AC4" w:rsidP="001638CE">
            <w:pPr>
              <w:pStyle w:val="TableText"/>
            </w:pPr>
            <w:r>
              <w:t>84.6</w:t>
            </w:r>
          </w:p>
        </w:tc>
        <w:tc>
          <w:tcPr>
            <w:tcW w:w="611" w:type="pct"/>
            <w:tcBorders>
              <w:bottom w:val="single" w:sz="4" w:space="0" w:color="auto"/>
            </w:tcBorders>
          </w:tcPr>
          <w:p w:rsidR="000B5AC4" w:rsidRDefault="000B5AC4" w:rsidP="001638CE">
            <w:pPr>
              <w:pStyle w:val="TableText"/>
            </w:pPr>
          </w:p>
        </w:tc>
        <w:tc>
          <w:tcPr>
            <w:tcW w:w="611" w:type="pct"/>
            <w:tcBorders>
              <w:bottom w:val="single" w:sz="4" w:space="0" w:color="auto"/>
            </w:tcBorders>
          </w:tcPr>
          <w:p w:rsidR="000B5AC4" w:rsidRDefault="000B5AC4" w:rsidP="001638CE">
            <w:pPr>
              <w:pStyle w:val="TableText"/>
            </w:pPr>
            <w:r>
              <w:t>92</w:t>
            </w:r>
          </w:p>
        </w:tc>
        <w:tc>
          <w:tcPr>
            <w:tcW w:w="609" w:type="pct"/>
            <w:tcBorders>
              <w:bottom w:val="single" w:sz="4" w:space="0" w:color="auto"/>
            </w:tcBorders>
          </w:tcPr>
          <w:p w:rsidR="000B5AC4" w:rsidRDefault="000B5AC4" w:rsidP="001638CE">
            <w:pPr>
              <w:pStyle w:val="TableText"/>
            </w:pPr>
            <w:r>
              <w:t>83.1</w:t>
            </w:r>
          </w:p>
        </w:tc>
      </w:tr>
      <w:tr w:rsidR="000B5AC4" w:rsidRPr="00595829" w:rsidTr="001638CE">
        <w:tc>
          <w:tcPr>
            <w:tcW w:w="1336" w:type="pct"/>
            <w:tcBorders>
              <w:top w:val="single" w:sz="4" w:space="0" w:color="auto"/>
              <w:left w:val="single" w:sz="4" w:space="0" w:color="auto"/>
              <w:bottom w:val="single" w:sz="4" w:space="0" w:color="auto"/>
              <w:right w:val="nil"/>
            </w:tcBorders>
            <w:shd w:val="clear" w:color="auto" w:fill="F2F2F2" w:themeFill="background1" w:themeFillShade="F2"/>
          </w:tcPr>
          <w:p w:rsidR="000B5AC4" w:rsidRPr="00595829" w:rsidRDefault="000B5AC4" w:rsidP="001638CE">
            <w:pPr>
              <w:pStyle w:val="TableText"/>
              <w:rPr>
                <w:b/>
              </w:rPr>
            </w:pPr>
            <w:r>
              <w:rPr>
                <w:b/>
              </w:rPr>
              <w:t>Stationery, course materials, photocopying</w:t>
            </w:r>
          </w:p>
        </w:tc>
        <w:tc>
          <w:tcPr>
            <w:tcW w:w="611" w:type="pct"/>
            <w:tcBorders>
              <w:top w:val="single" w:sz="4" w:space="0" w:color="auto"/>
              <w:left w:val="nil"/>
              <w:bottom w:val="single" w:sz="4" w:space="0" w:color="auto"/>
              <w:right w:val="nil"/>
            </w:tcBorders>
            <w:shd w:val="clear" w:color="auto" w:fill="F2F2F2" w:themeFill="background1" w:themeFillShade="F2"/>
          </w:tcPr>
          <w:p w:rsidR="000B5AC4" w:rsidRPr="00595829" w:rsidRDefault="000B5AC4" w:rsidP="001638CE">
            <w:pPr>
              <w:pStyle w:val="TableText"/>
            </w:pPr>
          </w:p>
        </w:tc>
        <w:tc>
          <w:tcPr>
            <w:tcW w:w="611" w:type="pct"/>
            <w:tcBorders>
              <w:top w:val="single" w:sz="4" w:space="0" w:color="auto"/>
              <w:left w:val="nil"/>
              <w:bottom w:val="single" w:sz="4" w:space="0" w:color="auto"/>
              <w:right w:val="nil"/>
            </w:tcBorders>
            <w:shd w:val="clear" w:color="auto" w:fill="F2F2F2" w:themeFill="background1" w:themeFillShade="F2"/>
          </w:tcPr>
          <w:p w:rsidR="000B5AC4" w:rsidRPr="00595829" w:rsidRDefault="000B5AC4" w:rsidP="001638CE">
            <w:pPr>
              <w:pStyle w:val="TableText"/>
            </w:pPr>
          </w:p>
        </w:tc>
        <w:tc>
          <w:tcPr>
            <w:tcW w:w="611" w:type="pct"/>
            <w:tcBorders>
              <w:top w:val="single" w:sz="4" w:space="0" w:color="auto"/>
              <w:left w:val="nil"/>
              <w:bottom w:val="single" w:sz="4" w:space="0" w:color="auto"/>
              <w:right w:val="nil"/>
            </w:tcBorders>
            <w:shd w:val="clear" w:color="auto" w:fill="F2F2F2" w:themeFill="background1" w:themeFillShade="F2"/>
          </w:tcPr>
          <w:p w:rsidR="000B5AC4" w:rsidRPr="00595829" w:rsidRDefault="000B5AC4" w:rsidP="001638CE">
            <w:pPr>
              <w:pStyle w:val="TableText"/>
            </w:pPr>
          </w:p>
        </w:tc>
        <w:tc>
          <w:tcPr>
            <w:tcW w:w="611" w:type="pct"/>
            <w:tcBorders>
              <w:top w:val="single" w:sz="4" w:space="0" w:color="auto"/>
              <w:left w:val="nil"/>
              <w:bottom w:val="single" w:sz="4" w:space="0" w:color="auto"/>
              <w:right w:val="nil"/>
            </w:tcBorders>
            <w:shd w:val="clear" w:color="auto" w:fill="F2F2F2" w:themeFill="background1" w:themeFillShade="F2"/>
          </w:tcPr>
          <w:p w:rsidR="000B5AC4" w:rsidRPr="00595829" w:rsidRDefault="000B5AC4" w:rsidP="001638CE">
            <w:pPr>
              <w:pStyle w:val="TableText"/>
            </w:pPr>
          </w:p>
        </w:tc>
        <w:tc>
          <w:tcPr>
            <w:tcW w:w="611" w:type="pct"/>
            <w:tcBorders>
              <w:top w:val="single" w:sz="4" w:space="0" w:color="auto"/>
              <w:left w:val="nil"/>
              <w:bottom w:val="single" w:sz="4" w:space="0" w:color="auto"/>
              <w:right w:val="nil"/>
            </w:tcBorders>
            <w:shd w:val="clear" w:color="auto" w:fill="F2F2F2" w:themeFill="background1" w:themeFillShade="F2"/>
          </w:tcPr>
          <w:p w:rsidR="000B5AC4" w:rsidRPr="00595829" w:rsidRDefault="000B5AC4" w:rsidP="001638CE">
            <w:pPr>
              <w:pStyle w:val="TableText"/>
            </w:pPr>
          </w:p>
        </w:tc>
        <w:tc>
          <w:tcPr>
            <w:tcW w:w="609" w:type="pct"/>
            <w:tcBorders>
              <w:top w:val="single" w:sz="4" w:space="0" w:color="auto"/>
              <w:left w:val="nil"/>
              <w:bottom w:val="single" w:sz="4" w:space="0" w:color="auto"/>
              <w:right w:val="single" w:sz="4" w:space="0" w:color="auto"/>
            </w:tcBorders>
            <w:shd w:val="clear" w:color="auto" w:fill="F2F2F2" w:themeFill="background1" w:themeFillShade="F2"/>
          </w:tcPr>
          <w:p w:rsidR="000B5AC4" w:rsidRPr="00595829" w:rsidRDefault="000B5AC4" w:rsidP="001638CE">
            <w:pPr>
              <w:pStyle w:val="TableText"/>
            </w:pPr>
          </w:p>
        </w:tc>
      </w:tr>
      <w:tr w:rsidR="000B5AC4" w:rsidRPr="006A3B93" w:rsidTr="001638CE">
        <w:tc>
          <w:tcPr>
            <w:tcW w:w="1336" w:type="pct"/>
            <w:tcBorders>
              <w:top w:val="single" w:sz="4" w:space="0" w:color="auto"/>
            </w:tcBorders>
          </w:tcPr>
          <w:p w:rsidR="000B5AC4" w:rsidRPr="006A3B93" w:rsidRDefault="000B5AC4" w:rsidP="000B5AC4">
            <w:pPr>
              <w:pStyle w:val="TableText"/>
            </w:pPr>
            <w:r w:rsidRPr="006A3B93">
              <w:t>$</w:t>
            </w:r>
          </w:p>
        </w:tc>
        <w:tc>
          <w:tcPr>
            <w:tcW w:w="611" w:type="pct"/>
            <w:tcBorders>
              <w:top w:val="single" w:sz="4" w:space="0" w:color="auto"/>
            </w:tcBorders>
          </w:tcPr>
          <w:p w:rsidR="000B5AC4" w:rsidRPr="006A3B93" w:rsidRDefault="000B5AC4" w:rsidP="001638CE">
            <w:pPr>
              <w:pStyle w:val="TableText"/>
            </w:pPr>
            <w:r>
              <w:t>88</w:t>
            </w:r>
          </w:p>
        </w:tc>
        <w:tc>
          <w:tcPr>
            <w:tcW w:w="611" w:type="pct"/>
            <w:tcBorders>
              <w:top w:val="single" w:sz="4" w:space="0" w:color="auto"/>
            </w:tcBorders>
          </w:tcPr>
          <w:p w:rsidR="000B5AC4" w:rsidRDefault="000B5AC4" w:rsidP="001638CE">
            <w:pPr>
              <w:pStyle w:val="TableText"/>
              <w:rPr>
                <w:sz w:val="19"/>
              </w:rPr>
            </w:pPr>
            <w:r>
              <w:rPr>
                <w:sz w:val="19"/>
              </w:rPr>
              <w:t>89</w:t>
            </w:r>
          </w:p>
        </w:tc>
        <w:tc>
          <w:tcPr>
            <w:tcW w:w="611" w:type="pct"/>
            <w:tcBorders>
              <w:top w:val="single" w:sz="4" w:space="0" w:color="auto"/>
            </w:tcBorders>
          </w:tcPr>
          <w:p w:rsidR="000B5AC4" w:rsidRDefault="000B5AC4" w:rsidP="001638CE">
            <w:pPr>
              <w:pStyle w:val="TableText"/>
              <w:rPr>
                <w:sz w:val="19"/>
              </w:rPr>
            </w:pPr>
            <w:r>
              <w:rPr>
                <w:sz w:val="19"/>
              </w:rPr>
              <w:t>90</w:t>
            </w:r>
          </w:p>
        </w:tc>
        <w:tc>
          <w:tcPr>
            <w:tcW w:w="611" w:type="pct"/>
            <w:tcBorders>
              <w:top w:val="single" w:sz="4" w:space="0" w:color="auto"/>
            </w:tcBorders>
          </w:tcPr>
          <w:p w:rsidR="000B5AC4" w:rsidRPr="000B5AC4" w:rsidRDefault="000B5AC4" w:rsidP="000B5AC4">
            <w:pPr>
              <w:pStyle w:val="TableText"/>
            </w:pPr>
            <w:r w:rsidRPr="000B5AC4">
              <w:t>116</w:t>
            </w:r>
          </w:p>
        </w:tc>
        <w:tc>
          <w:tcPr>
            <w:tcW w:w="611" w:type="pct"/>
            <w:tcBorders>
              <w:top w:val="single" w:sz="4" w:space="0" w:color="auto"/>
            </w:tcBorders>
          </w:tcPr>
          <w:p w:rsidR="000B5AC4" w:rsidRPr="000B5AC4" w:rsidRDefault="000B5AC4" w:rsidP="000B5AC4">
            <w:pPr>
              <w:pStyle w:val="TableText"/>
            </w:pPr>
            <w:r w:rsidRPr="000B5AC4">
              <w:t>132</w:t>
            </w:r>
          </w:p>
        </w:tc>
        <w:tc>
          <w:tcPr>
            <w:tcW w:w="609" w:type="pct"/>
            <w:tcBorders>
              <w:top w:val="single" w:sz="4" w:space="0" w:color="auto"/>
            </w:tcBorders>
          </w:tcPr>
          <w:p w:rsidR="000B5AC4" w:rsidRPr="000B5AC4" w:rsidRDefault="000B5AC4" w:rsidP="000B5AC4">
            <w:pPr>
              <w:pStyle w:val="TableText"/>
            </w:pPr>
            <w:r w:rsidRPr="000B5AC4">
              <w:t>112</w:t>
            </w:r>
          </w:p>
        </w:tc>
      </w:tr>
      <w:tr w:rsidR="000B5AC4" w:rsidRPr="006A3B93" w:rsidTr="001638CE">
        <w:tc>
          <w:tcPr>
            <w:tcW w:w="1336" w:type="pct"/>
            <w:tcBorders>
              <w:bottom w:val="single" w:sz="4" w:space="0" w:color="auto"/>
            </w:tcBorders>
          </w:tcPr>
          <w:p w:rsidR="000B5AC4" w:rsidRPr="006A3B93" w:rsidRDefault="000B5AC4" w:rsidP="001638CE">
            <w:pPr>
              <w:pStyle w:val="TableText"/>
            </w:pPr>
            <w:r w:rsidRPr="006A3B93">
              <w:t>%</w:t>
            </w:r>
          </w:p>
        </w:tc>
        <w:tc>
          <w:tcPr>
            <w:tcW w:w="611" w:type="pct"/>
            <w:tcBorders>
              <w:bottom w:val="single" w:sz="4" w:space="0" w:color="auto"/>
            </w:tcBorders>
          </w:tcPr>
          <w:p w:rsidR="000B5AC4" w:rsidRPr="006A3B93" w:rsidRDefault="000B5AC4" w:rsidP="001638CE">
            <w:pPr>
              <w:pStyle w:val="TableText"/>
            </w:pPr>
            <w:r>
              <w:t>24.1</w:t>
            </w:r>
          </w:p>
        </w:tc>
        <w:tc>
          <w:tcPr>
            <w:tcW w:w="611" w:type="pct"/>
            <w:tcBorders>
              <w:bottom w:val="single" w:sz="4" w:space="0" w:color="auto"/>
            </w:tcBorders>
          </w:tcPr>
          <w:p w:rsidR="000B5AC4" w:rsidRDefault="000B5AC4" w:rsidP="001638CE">
            <w:pPr>
              <w:pStyle w:val="TableText"/>
              <w:rPr>
                <w:sz w:val="19"/>
              </w:rPr>
            </w:pPr>
            <w:r>
              <w:rPr>
                <w:sz w:val="19"/>
              </w:rPr>
              <w:t>85.2</w:t>
            </w:r>
          </w:p>
        </w:tc>
        <w:tc>
          <w:tcPr>
            <w:tcW w:w="611" w:type="pct"/>
            <w:tcBorders>
              <w:bottom w:val="single" w:sz="4" w:space="0" w:color="auto"/>
            </w:tcBorders>
          </w:tcPr>
          <w:p w:rsidR="000B5AC4" w:rsidRDefault="000B5AC4" w:rsidP="001638CE">
            <w:pPr>
              <w:pStyle w:val="TableText"/>
              <w:rPr>
                <w:sz w:val="19"/>
              </w:rPr>
            </w:pPr>
            <w:r>
              <w:rPr>
                <w:sz w:val="19"/>
              </w:rPr>
              <w:t>83</w:t>
            </w:r>
          </w:p>
        </w:tc>
        <w:tc>
          <w:tcPr>
            <w:tcW w:w="611" w:type="pct"/>
            <w:tcBorders>
              <w:bottom w:val="single" w:sz="4" w:space="0" w:color="auto"/>
            </w:tcBorders>
          </w:tcPr>
          <w:p w:rsidR="000B5AC4" w:rsidRPr="000B5AC4" w:rsidRDefault="000B5AC4" w:rsidP="000B5AC4">
            <w:pPr>
              <w:pStyle w:val="TableText"/>
            </w:pPr>
          </w:p>
        </w:tc>
        <w:tc>
          <w:tcPr>
            <w:tcW w:w="611" w:type="pct"/>
            <w:tcBorders>
              <w:bottom w:val="single" w:sz="4" w:space="0" w:color="auto"/>
            </w:tcBorders>
          </w:tcPr>
          <w:p w:rsidR="000B5AC4" w:rsidRPr="000B5AC4" w:rsidRDefault="000B5AC4" w:rsidP="000B5AC4">
            <w:pPr>
              <w:pStyle w:val="TableText"/>
            </w:pPr>
            <w:r w:rsidRPr="000B5AC4">
              <w:t>92</w:t>
            </w:r>
          </w:p>
        </w:tc>
        <w:tc>
          <w:tcPr>
            <w:tcW w:w="609" w:type="pct"/>
            <w:tcBorders>
              <w:bottom w:val="single" w:sz="4" w:space="0" w:color="auto"/>
            </w:tcBorders>
          </w:tcPr>
          <w:p w:rsidR="000B5AC4" w:rsidRPr="000B5AC4" w:rsidRDefault="000B5AC4" w:rsidP="000B5AC4">
            <w:pPr>
              <w:pStyle w:val="TableText"/>
            </w:pPr>
            <w:r w:rsidRPr="000B5AC4">
              <w:t>75.7</w:t>
            </w:r>
          </w:p>
        </w:tc>
      </w:tr>
      <w:tr w:rsidR="000B5AC4" w:rsidRPr="00595829" w:rsidTr="001638CE">
        <w:tc>
          <w:tcPr>
            <w:tcW w:w="1336" w:type="pct"/>
            <w:tcBorders>
              <w:top w:val="single" w:sz="4" w:space="0" w:color="auto"/>
              <w:left w:val="single" w:sz="4" w:space="0" w:color="auto"/>
              <w:bottom w:val="single" w:sz="4" w:space="0" w:color="auto"/>
              <w:right w:val="nil"/>
            </w:tcBorders>
            <w:shd w:val="clear" w:color="auto" w:fill="F2F2F2" w:themeFill="background1" w:themeFillShade="F2"/>
          </w:tcPr>
          <w:p w:rsidR="000B5AC4" w:rsidRPr="00595829" w:rsidRDefault="000B5AC4" w:rsidP="001638CE">
            <w:pPr>
              <w:pStyle w:val="TableText"/>
              <w:rPr>
                <w:b/>
              </w:rPr>
            </w:pPr>
            <w:r>
              <w:rPr>
                <w:b/>
              </w:rPr>
              <w:t>Other</w:t>
            </w:r>
          </w:p>
        </w:tc>
        <w:tc>
          <w:tcPr>
            <w:tcW w:w="611" w:type="pct"/>
            <w:tcBorders>
              <w:top w:val="single" w:sz="4" w:space="0" w:color="auto"/>
              <w:left w:val="nil"/>
              <w:bottom w:val="single" w:sz="4" w:space="0" w:color="auto"/>
              <w:right w:val="nil"/>
            </w:tcBorders>
            <w:shd w:val="clear" w:color="auto" w:fill="F2F2F2" w:themeFill="background1" w:themeFillShade="F2"/>
          </w:tcPr>
          <w:p w:rsidR="000B5AC4" w:rsidRPr="00595829" w:rsidRDefault="000B5AC4" w:rsidP="001638CE">
            <w:pPr>
              <w:pStyle w:val="TableText"/>
            </w:pPr>
          </w:p>
        </w:tc>
        <w:tc>
          <w:tcPr>
            <w:tcW w:w="611" w:type="pct"/>
            <w:tcBorders>
              <w:top w:val="single" w:sz="4" w:space="0" w:color="auto"/>
              <w:left w:val="nil"/>
              <w:bottom w:val="single" w:sz="4" w:space="0" w:color="auto"/>
              <w:right w:val="nil"/>
            </w:tcBorders>
            <w:shd w:val="clear" w:color="auto" w:fill="F2F2F2" w:themeFill="background1" w:themeFillShade="F2"/>
          </w:tcPr>
          <w:p w:rsidR="000B5AC4" w:rsidRDefault="000B5AC4" w:rsidP="001638CE">
            <w:pPr>
              <w:pStyle w:val="TableText"/>
              <w:rPr>
                <w:sz w:val="19"/>
              </w:rPr>
            </w:pPr>
          </w:p>
        </w:tc>
        <w:tc>
          <w:tcPr>
            <w:tcW w:w="611" w:type="pct"/>
            <w:tcBorders>
              <w:top w:val="single" w:sz="4" w:space="0" w:color="auto"/>
              <w:left w:val="nil"/>
              <w:bottom w:val="single" w:sz="4" w:space="0" w:color="auto"/>
              <w:right w:val="nil"/>
            </w:tcBorders>
            <w:shd w:val="clear" w:color="auto" w:fill="F2F2F2" w:themeFill="background1" w:themeFillShade="F2"/>
          </w:tcPr>
          <w:p w:rsidR="000B5AC4" w:rsidRDefault="000B5AC4" w:rsidP="001638CE">
            <w:pPr>
              <w:pStyle w:val="TableText"/>
              <w:rPr>
                <w:sz w:val="19"/>
              </w:rPr>
            </w:pPr>
          </w:p>
        </w:tc>
        <w:tc>
          <w:tcPr>
            <w:tcW w:w="611" w:type="pct"/>
            <w:tcBorders>
              <w:top w:val="single" w:sz="4" w:space="0" w:color="auto"/>
              <w:left w:val="nil"/>
              <w:bottom w:val="single" w:sz="4" w:space="0" w:color="auto"/>
              <w:right w:val="nil"/>
            </w:tcBorders>
            <w:shd w:val="clear" w:color="auto" w:fill="F2F2F2" w:themeFill="background1" w:themeFillShade="F2"/>
          </w:tcPr>
          <w:p w:rsidR="000B5AC4" w:rsidRDefault="000B5AC4" w:rsidP="001638CE">
            <w:pPr>
              <w:pStyle w:val="TableText"/>
              <w:rPr>
                <w:rFonts w:ascii="Times New Roman"/>
              </w:rPr>
            </w:pPr>
          </w:p>
        </w:tc>
        <w:tc>
          <w:tcPr>
            <w:tcW w:w="611" w:type="pct"/>
            <w:tcBorders>
              <w:top w:val="single" w:sz="4" w:space="0" w:color="auto"/>
              <w:left w:val="nil"/>
              <w:bottom w:val="single" w:sz="4" w:space="0" w:color="auto"/>
              <w:right w:val="nil"/>
            </w:tcBorders>
            <w:shd w:val="clear" w:color="auto" w:fill="F2F2F2" w:themeFill="background1" w:themeFillShade="F2"/>
          </w:tcPr>
          <w:p w:rsidR="000B5AC4" w:rsidRDefault="000B5AC4" w:rsidP="001638CE">
            <w:pPr>
              <w:pStyle w:val="TableText"/>
              <w:rPr>
                <w:sz w:val="19"/>
              </w:rPr>
            </w:pPr>
          </w:p>
        </w:tc>
        <w:tc>
          <w:tcPr>
            <w:tcW w:w="609" w:type="pct"/>
            <w:tcBorders>
              <w:top w:val="single" w:sz="4" w:space="0" w:color="auto"/>
              <w:left w:val="nil"/>
              <w:bottom w:val="single" w:sz="4" w:space="0" w:color="auto"/>
              <w:right w:val="single" w:sz="4" w:space="0" w:color="auto"/>
            </w:tcBorders>
            <w:shd w:val="clear" w:color="auto" w:fill="F2F2F2" w:themeFill="background1" w:themeFillShade="F2"/>
          </w:tcPr>
          <w:p w:rsidR="000B5AC4" w:rsidRDefault="000B5AC4" w:rsidP="001638CE">
            <w:pPr>
              <w:pStyle w:val="TableText"/>
              <w:rPr>
                <w:sz w:val="19"/>
              </w:rPr>
            </w:pPr>
          </w:p>
        </w:tc>
      </w:tr>
      <w:tr w:rsidR="000B5AC4" w:rsidRPr="006A3B93" w:rsidTr="001638CE">
        <w:tc>
          <w:tcPr>
            <w:tcW w:w="1336" w:type="pct"/>
            <w:tcBorders>
              <w:top w:val="single" w:sz="4" w:space="0" w:color="auto"/>
            </w:tcBorders>
          </w:tcPr>
          <w:p w:rsidR="000B5AC4" w:rsidRPr="006A3B93" w:rsidRDefault="000B5AC4" w:rsidP="000B5AC4">
            <w:pPr>
              <w:pStyle w:val="TableText"/>
            </w:pPr>
            <w:r w:rsidRPr="006A3B93">
              <w:t>$</w:t>
            </w:r>
          </w:p>
        </w:tc>
        <w:tc>
          <w:tcPr>
            <w:tcW w:w="611" w:type="pct"/>
            <w:tcBorders>
              <w:top w:val="single" w:sz="4" w:space="0" w:color="auto"/>
            </w:tcBorders>
          </w:tcPr>
          <w:p w:rsidR="000B5AC4" w:rsidRDefault="000B5AC4" w:rsidP="001638CE">
            <w:pPr>
              <w:pStyle w:val="TableText"/>
            </w:pPr>
            <w:r>
              <w:t>87</w:t>
            </w:r>
          </w:p>
        </w:tc>
        <w:tc>
          <w:tcPr>
            <w:tcW w:w="611" w:type="pct"/>
            <w:tcBorders>
              <w:top w:val="single" w:sz="4" w:space="0" w:color="auto"/>
            </w:tcBorders>
          </w:tcPr>
          <w:p w:rsidR="000B5AC4" w:rsidRDefault="000B5AC4" w:rsidP="001638CE">
            <w:pPr>
              <w:pStyle w:val="TableText"/>
              <w:rPr>
                <w:sz w:val="19"/>
              </w:rPr>
            </w:pPr>
            <w:r>
              <w:rPr>
                <w:sz w:val="19"/>
              </w:rPr>
              <w:t>98</w:t>
            </w:r>
          </w:p>
        </w:tc>
        <w:tc>
          <w:tcPr>
            <w:tcW w:w="611" w:type="pct"/>
            <w:tcBorders>
              <w:top w:val="single" w:sz="4" w:space="0" w:color="auto"/>
            </w:tcBorders>
          </w:tcPr>
          <w:p w:rsidR="000B5AC4" w:rsidRDefault="000B5AC4" w:rsidP="001638CE">
            <w:pPr>
              <w:pStyle w:val="TableText"/>
              <w:rPr>
                <w:sz w:val="19"/>
              </w:rPr>
            </w:pPr>
            <w:r>
              <w:rPr>
                <w:sz w:val="19"/>
              </w:rPr>
              <w:t>267</w:t>
            </w:r>
          </w:p>
        </w:tc>
        <w:tc>
          <w:tcPr>
            <w:tcW w:w="611" w:type="pct"/>
            <w:tcBorders>
              <w:top w:val="single" w:sz="4" w:space="0" w:color="auto"/>
            </w:tcBorders>
          </w:tcPr>
          <w:p w:rsidR="000B5AC4" w:rsidRDefault="000B5AC4" w:rsidP="001638CE">
            <w:pPr>
              <w:pStyle w:val="TableText"/>
            </w:pPr>
            <w:r>
              <w:t>334</w:t>
            </w:r>
          </w:p>
        </w:tc>
        <w:tc>
          <w:tcPr>
            <w:tcW w:w="611" w:type="pct"/>
            <w:tcBorders>
              <w:top w:val="single" w:sz="4" w:space="0" w:color="auto"/>
            </w:tcBorders>
          </w:tcPr>
          <w:p w:rsidR="000B5AC4" w:rsidRDefault="000B5AC4" w:rsidP="001638CE">
            <w:pPr>
              <w:pStyle w:val="TableText"/>
              <w:rPr>
                <w:sz w:val="19"/>
              </w:rPr>
            </w:pPr>
            <w:r>
              <w:rPr>
                <w:sz w:val="19"/>
              </w:rPr>
              <w:t>270</w:t>
            </w:r>
          </w:p>
        </w:tc>
        <w:tc>
          <w:tcPr>
            <w:tcW w:w="609" w:type="pct"/>
            <w:tcBorders>
              <w:top w:val="single" w:sz="4" w:space="0" w:color="auto"/>
            </w:tcBorders>
          </w:tcPr>
          <w:p w:rsidR="000B5AC4" w:rsidRDefault="000B5AC4" w:rsidP="001638CE">
            <w:pPr>
              <w:pStyle w:val="TableText"/>
              <w:rPr>
                <w:sz w:val="19"/>
              </w:rPr>
            </w:pPr>
            <w:r>
              <w:rPr>
                <w:sz w:val="19"/>
              </w:rPr>
              <w:t>349</w:t>
            </w:r>
          </w:p>
        </w:tc>
      </w:tr>
      <w:tr w:rsidR="000B5AC4" w:rsidRPr="006A3B93" w:rsidTr="000B5AC4">
        <w:trPr>
          <w:trHeight w:val="25"/>
        </w:trPr>
        <w:tc>
          <w:tcPr>
            <w:tcW w:w="1336" w:type="pct"/>
            <w:tcBorders>
              <w:bottom w:val="single" w:sz="4" w:space="0" w:color="auto"/>
            </w:tcBorders>
          </w:tcPr>
          <w:p w:rsidR="000B5AC4" w:rsidRPr="006A3B93" w:rsidRDefault="000B5AC4" w:rsidP="001638CE">
            <w:pPr>
              <w:pStyle w:val="TableText"/>
            </w:pPr>
            <w:r w:rsidRPr="006A3B93">
              <w:t>%</w:t>
            </w:r>
          </w:p>
        </w:tc>
        <w:tc>
          <w:tcPr>
            <w:tcW w:w="611" w:type="pct"/>
            <w:tcBorders>
              <w:bottom w:val="single" w:sz="4" w:space="0" w:color="auto"/>
            </w:tcBorders>
          </w:tcPr>
          <w:p w:rsidR="000B5AC4" w:rsidRDefault="000B5AC4" w:rsidP="001638CE">
            <w:pPr>
              <w:pStyle w:val="TableText"/>
            </w:pPr>
            <w:r>
              <w:t>23.9</w:t>
            </w:r>
          </w:p>
        </w:tc>
        <w:tc>
          <w:tcPr>
            <w:tcW w:w="611" w:type="pct"/>
            <w:tcBorders>
              <w:bottom w:val="single" w:sz="4" w:space="0" w:color="auto"/>
            </w:tcBorders>
          </w:tcPr>
          <w:p w:rsidR="000B5AC4" w:rsidRDefault="000B5AC4" w:rsidP="001638CE">
            <w:pPr>
              <w:pStyle w:val="TableText"/>
              <w:rPr>
                <w:sz w:val="19"/>
              </w:rPr>
            </w:pPr>
            <w:r>
              <w:rPr>
                <w:sz w:val="19"/>
              </w:rPr>
              <w:t>27.7</w:t>
            </w:r>
          </w:p>
        </w:tc>
        <w:tc>
          <w:tcPr>
            <w:tcW w:w="611" w:type="pct"/>
            <w:tcBorders>
              <w:bottom w:val="single" w:sz="4" w:space="0" w:color="auto"/>
            </w:tcBorders>
          </w:tcPr>
          <w:p w:rsidR="000B5AC4" w:rsidRDefault="000B5AC4" w:rsidP="001638CE">
            <w:pPr>
              <w:pStyle w:val="TableText"/>
              <w:rPr>
                <w:sz w:val="19"/>
              </w:rPr>
            </w:pPr>
            <w:r>
              <w:rPr>
                <w:sz w:val="19"/>
              </w:rPr>
              <w:t>40</w:t>
            </w:r>
          </w:p>
        </w:tc>
        <w:tc>
          <w:tcPr>
            <w:tcW w:w="611" w:type="pct"/>
            <w:tcBorders>
              <w:bottom w:val="single" w:sz="4" w:space="0" w:color="auto"/>
            </w:tcBorders>
          </w:tcPr>
          <w:p w:rsidR="000B5AC4" w:rsidRDefault="000B5AC4" w:rsidP="001638CE">
            <w:pPr>
              <w:pStyle w:val="TableText"/>
            </w:pPr>
          </w:p>
        </w:tc>
        <w:tc>
          <w:tcPr>
            <w:tcW w:w="611" w:type="pct"/>
            <w:tcBorders>
              <w:bottom w:val="single" w:sz="4" w:space="0" w:color="auto"/>
            </w:tcBorders>
          </w:tcPr>
          <w:p w:rsidR="000B5AC4" w:rsidRDefault="000B5AC4" w:rsidP="001638CE">
            <w:pPr>
              <w:pStyle w:val="TableText"/>
              <w:rPr>
                <w:sz w:val="19"/>
              </w:rPr>
            </w:pPr>
            <w:r>
              <w:rPr>
                <w:sz w:val="19"/>
              </w:rPr>
              <w:t>68</w:t>
            </w:r>
          </w:p>
        </w:tc>
        <w:tc>
          <w:tcPr>
            <w:tcW w:w="609" w:type="pct"/>
            <w:tcBorders>
              <w:bottom w:val="single" w:sz="4" w:space="0" w:color="auto"/>
            </w:tcBorders>
          </w:tcPr>
          <w:p w:rsidR="000B5AC4" w:rsidRDefault="000B5AC4" w:rsidP="001638CE">
            <w:pPr>
              <w:pStyle w:val="TableText"/>
              <w:rPr>
                <w:sz w:val="19"/>
              </w:rPr>
            </w:pPr>
            <w:r>
              <w:rPr>
                <w:sz w:val="19"/>
              </w:rPr>
              <w:t>36.4</w:t>
            </w:r>
          </w:p>
        </w:tc>
      </w:tr>
    </w:tbl>
    <w:p w:rsidR="000B5AC4" w:rsidRDefault="000B5AC4" w:rsidP="000B5AC4"/>
    <w:p w:rsidR="000B5AC4" w:rsidRPr="000B5AC4" w:rsidRDefault="000B5AC4" w:rsidP="000B5AC4">
      <w:pPr>
        <w:rPr>
          <w:lang w:val="en-US"/>
        </w:rPr>
      </w:pPr>
      <w:r w:rsidRPr="000B5AC4">
        <w:rPr>
          <w:lang w:val="en-US"/>
        </w:rPr>
        <w:t>The pattern of expenditure is similar for relocated and non-relocated students aged 25 and over. However, relocated students spent an average of $140 or more on textbooks while non-relocated students spent an average of $80 extra in other study-related expenses.</w:t>
      </w:r>
    </w:p>
    <w:p w:rsidR="000B5AC4" w:rsidRDefault="000B5AC4" w:rsidP="000B5AC4">
      <w:pPr>
        <w:pStyle w:val="Heading2"/>
      </w:pPr>
      <w:bookmarkStart w:id="47" w:name="_Toc517270337"/>
      <w:r>
        <w:t>3.6 Living Arrangements</w:t>
      </w:r>
      <w:bookmarkEnd w:id="47"/>
    </w:p>
    <w:p w:rsidR="000B5AC4" w:rsidRPr="000B5AC4" w:rsidRDefault="000B5AC4" w:rsidP="000B5AC4">
      <w:pPr>
        <w:rPr>
          <w:lang w:val="en-US"/>
        </w:rPr>
      </w:pPr>
      <w:r w:rsidRPr="000B5AC4">
        <w:rPr>
          <w:lang w:val="en-US"/>
        </w:rPr>
        <w:t>The costs of living away from home are substantial and have a significant impact on any family’s or individual’s finances. In a recent report on first year experience at university, Baik et al. (2015) report that 57% of regional and remote students are required to relocate to attend university, in comparison to 27% of metropolitan students. The impact of relocating to attend university not only results in significant financial costs incurred, but also results in regional students experiencing emotional stress due to the loss of their support networks (Baik et al. 2015).</w:t>
      </w:r>
    </w:p>
    <w:p w:rsidR="000B5AC4" w:rsidRPr="000B5AC4" w:rsidRDefault="000B5AC4" w:rsidP="000B5AC4">
      <w:pPr>
        <w:rPr>
          <w:lang w:val="en-US"/>
        </w:rPr>
      </w:pPr>
      <w:r w:rsidRPr="000B5AC4">
        <w:rPr>
          <w:lang w:val="en-US"/>
        </w:rPr>
        <w:t>Whilst cost of accommodation is a major concern and is discussed below, Bills (2012) identifies that additional stress is experienced for both regional students and their families due to issues relating to finding appropriate accommodation. Results from this study indicates that 55% of regional students aged under 25 begin planning for living arrangements around four months before university study started, 18% started almost one year before the start of university study. Accommodation was generally found through word of mouth (34%), via various websites (27%) or through a real estate agent (15%), or other means (17%). It is interesting to note that the majority of students in the other category found accommodation through friends and family friends.</w:t>
      </w:r>
    </w:p>
    <w:p w:rsidR="000B5AC4" w:rsidRPr="000B5AC4" w:rsidRDefault="000B5AC4" w:rsidP="000B5AC4">
      <w:pPr>
        <w:rPr>
          <w:lang w:val="en-US"/>
        </w:rPr>
      </w:pPr>
      <w:r w:rsidRPr="000B5AC4">
        <w:rPr>
          <w:lang w:val="en-US"/>
        </w:rPr>
        <w:t>Unsurprisingly, there are very different styles of living arrangements for those aged under 25 and those aged 25 years and over. Those under 25 are more likely to be living with family or in shared accommodation whereas the main type of living arrangements for students 25 and over are renting alone or buying their own homes.</w:t>
      </w:r>
    </w:p>
    <w:p w:rsidR="003F2D70" w:rsidRDefault="001638CE" w:rsidP="003F2D70">
      <w:pPr>
        <w:keepNext/>
      </w:pPr>
      <w:r>
        <w:rPr>
          <w:noProof/>
          <w:lang w:eastAsia="en-AU"/>
        </w:rPr>
        <w:drawing>
          <wp:anchor distT="0" distB="0" distL="114300" distR="114300" simplePos="0" relativeHeight="251681792" behindDoc="0" locked="0" layoutInCell="1" allowOverlap="1">
            <wp:simplePos x="0" y="0"/>
            <wp:positionH relativeFrom="column">
              <wp:posOffset>0</wp:posOffset>
            </wp:positionH>
            <wp:positionV relativeFrom="paragraph">
              <wp:posOffset>189865</wp:posOffset>
            </wp:positionV>
            <wp:extent cx="5731510" cy="2743200"/>
            <wp:effectExtent l="0" t="0" r="2540" b="0"/>
            <wp:wrapSquare wrapText="bothSides"/>
            <wp:docPr id="9" name="Picture 9" descr="Bar graph displaying the current living arrangements of students aged under 25 years (shown in percentages), split into relocated and non-relocated."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jpg"/>
                    <pic:cNvPicPr/>
                  </pic:nvPicPr>
                  <pic:blipFill>
                    <a:blip r:embed="rId20">
                      <a:extLst>
                        <a:ext uri="{28A0092B-C50C-407E-A947-70E740481C1C}">
                          <a14:useLocalDpi xmlns:a14="http://schemas.microsoft.com/office/drawing/2010/main" val="0"/>
                        </a:ext>
                      </a:extLst>
                    </a:blip>
                    <a:stretch>
                      <a:fillRect/>
                    </a:stretch>
                  </pic:blipFill>
                  <pic:spPr>
                    <a:xfrm>
                      <a:off x="0" y="0"/>
                      <a:ext cx="5731510" cy="2743200"/>
                    </a:xfrm>
                    <a:prstGeom prst="rect">
                      <a:avLst/>
                    </a:prstGeom>
                  </pic:spPr>
                </pic:pic>
              </a:graphicData>
            </a:graphic>
            <wp14:sizeRelH relativeFrom="page">
              <wp14:pctWidth>0</wp14:pctWidth>
            </wp14:sizeRelH>
            <wp14:sizeRelV relativeFrom="page">
              <wp14:pctHeight>0</wp14:pctHeight>
            </wp14:sizeRelV>
          </wp:anchor>
        </w:drawing>
      </w:r>
    </w:p>
    <w:p w:rsidR="000B5AC4" w:rsidRDefault="003F2D70" w:rsidP="003F2D70">
      <w:pPr>
        <w:pStyle w:val="FigureTitles"/>
      </w:pPr>
      <w:r>
        <w:br/>
      </w:r>
      <w:bookmarkStart w:id="48" w:name="_Toc517270585"/>
      <w:r>
        <w:t xml:space="preserve">Figure </w:t>
      </w:r>
      <w:fldSimple w:instr=" SEQ Figure \* ARABIC ">
        <w:r w:rsidR="00B00AA1">
          <w:rPr>
            <w:noProof/>
          </w:rPr>
          <w:t>11</w:t>
        </w:r>
      </w:fldSimple>
      <w:r>
        <w:t xml:space="preserve">: </w:t>
      </w:r>
      <w:r w:rsidRPr="002F6FE4">
        <w:t>Current living arrangements of students aged under 25 years</w:t>
      </w:r>
      <w:bookmarkEnd w:id="48"/>
    </w:p>
    <w:p w:rsidR="001638CE" w:rsidRDefault="001638CE" w:rsidP="001638CE">
      <w:pPr>
        <w:pStyle w:val="FigureTitles"/>
      </w:pPr>
      <w:bookmarkStart w:id="49" w:name="_Toc517270586"/>
      <w:r>
        <w:rPr>
          <w:noProof/>
          <w:lang w:eastAsia="en-AU"/>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5731510" cy="2725420"/>
            <wp:effectExtent l="0" t="0" r="2540" b="0"/>
            <wp:wrapSquare wrapText="bothSides"/>
            <wp:docPr id="12" name="Picture 12" descr="Bar graph displaying the current living arrangements of students aged 25 years and over (shown in percentages), split into relocated and non-relocated." title="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jpg"/>
                    <pic:cNvPicPr/>
                  </pic:nvPicPr>
                  <pic:blipFill>
                    <a:blip r:embed="rId21">
                      <a:extLst>
                        <a:ext uri="{28A0092B-C50C-407E-A947-70E740481C1C}">
                          <a14:useLocalDpi xmlns:a14="http://schemas.microsoft.com/office/drawing/2010/main" val="0"/>
                        </a:ext>
                      </a:extLst>
                    </a:blip>
                    <a:stretch>
                      <a:fillRect/>
                    </a:stretch>
                  </pic:blipFill>
                  <pic:spPr>
                    <a:xfrm>
                      <a:off x="0" y="0"/>
                      <a:ext cx="5731510" cy="2725420"/>
                    </a:xfrm>
                    <a:prstGeom prst="rect">
                      <a:avLst/>
                    </a:prstGeom>
                  </pic:spPr>
                </pic:pic>
              </a:graphicData>
            </a:graphic>
            <wp14:sizeRelH relativeFrom="page">
              <wp14:pctWidth>0</wp14:pctWidth>
            </wp14:sizeRelH>
            <wp14:sizeRelV relativeFrom="page">
              <wp14:pctHeight>0</wp14:pctHeight>
            </wp14:sizeRelV>
          </wp:anchor>
        </w:drawing>
      </w:r>
      <w:r>
        <w:br/>
        <w:t xml:space="preserve">Figure </w:t>
      </w:r>
      <w:fldSimple w:instr=" SEQ Figure \* ARABIC ">
        <w:r w:rsidR="00B00AA1">
          <w:rPr>
            <w:noProof/>
          </w:rPr>
          <w:t>12</w:t>
        </w:r>
      </w:fldSimple>
      <w:r>
        <w:t xml:space="preserve">: </w:t>
      </w:r>
      <w:r w:rsidRPr="000A7C9B">
        <w:t>Current living arrangements of students aged 25 years and over</w:t>
      </w:r>
      <w:bookmarkEnd w:id="49"/>
    </w:p>
    <w:p w:rsidR="00B43F79" w:rsidRDefault="00B43F79" w:rsidP="00B43F79">
      <w:r>
        <w:br/>
        <w:t>For the majority of regional students living in rental accommodation, there are significant set-up costs associated with moving into private rental accommodation, including four weeks rent as bonds and two weeks’ rent in advance, furniture, basic food items, and linen. Lack of flexibility surrounding eligibility for Centrelink was raised throughout interviews, including the inability to save money in preparation of meeting these start-up costs.</w:t>
      </w:r>
    </w:p>
    <w:p w:rsidR="00B43F79" w:rsidRDefault="00B43F79" w:rsidP="00B43F79">
      <w:pPr>
        <w:pStyle w:val="Quote"/>
      </w:pPr>
      <w:r>
        <w:t xml:space="preserve">Some people need the money straight away, but the thing is that they can’t apply for Centrelink any earlier because you can’t apply for it until you’ve left, but when you need the money you can’t get it … you move in at the end of January and then I think it was mid-March before I got anything, so that’s like a month and a half ... which for some people that’s just six weeks without any income ... without anything at all. </w:t>
      </w:r>
      <w:r w:rsidRPr="00B43F79">
        <w:rPr>
          <w:i w:val="0"/>
        </w:rPr>
        <w:t>Mia</w:t>
      </w:r>
    </w:p>
    <w:p w:rsidR="0069502D" w:rsidRPr="009D5F55" w:rsidRDefault="00B43F79" w:rsidP="009D5F55">
      <w:pPr>
        <w:pStyle w:val="Quote"/>
        <w:rPr>
          <w:i w:val="0"/>
        </w:rPr>
        <w:sectPr w:rsidR="0069502D" w:rsidRPr="009D5F55" w:rsidSect="0016679B">
          <w:footerReference w:type="default" r:id="rId22"/>
          <w:pgSz w:w="11906" w:h="16838"/>
          <w:pgMar w:top="1440" w:right="1440" w:bottom="1440" w:left="1440" w:header="708" w:footer="708" w:gutter="0"/>
          <w:cols w:space="708"/>
          <w:docGrid w:linePitch="360"/>
        </w:sectPr>
      </w:pPr>
      <w:r>
        <w:t>There needs to be a bit more consideration around the earnings limits and the casual nature of that, as a lot of rural students will go back on their Christmas break and work really hard in their job that they had before they moved over and then come back and they won’t work for three or four months. I’m not sure the current system is the best way to handle that. There needs to be a bit more flexibility and understanding.</w:t>
      </w:r>
      <w:r w:rsidR="009D5F55">
        <w:rPr>
          <w:i w:val="0"/>
        </w:rPr>
        <w:t xml:space="preserve"> Emm</w:t>
      </w:r>
    </w:p>
    <w:p w:rsidR="00C57952" w:rsidRDefault="00C57952" w:rsidP="00C57952">
      <w:pPr>
        <w:pStyle w:val="TableTitles"/>
      </w:pPr>
      <w:bookmarkStart w:id="50" w:name="_Toc517270503"/>
      <w:r>
        <w:t xml:space="preserve">Table </w:t>
      </w:r>
      <w:fldSimple w:instr=" SEQ Table \* ARABIC ">
        <w:r w:rsidR="00766065">
          <w:rPr>
            <w:noProof/>
          </w:rPr>
          <w:t>9</w:t>
        </w:r>
      </w:fldSimple>
      <w:r>
        <w:t xml:space="preserve">: </w:t>
      </w:r>
      <w:r w:rsidRPr="00B9608A">
        <w:t>Set up costs for commencing higher education – percentage of expenditure for students aged under 25</w:t>
      </w:r>
      <w:bookmarkEnd w:id="50"/>
    </w:p>
    <w:tbl>
      <w:tblPr>
        <w:tblpPr w:leftFromText="180" w:rightFromText="180" w:vertAnchor="text" w:horzAnchor="margin" w:tblpY="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85" w:type="dxa"/>
          <w:bottom w:w="11" w:type="dxa"/>
          <w:right w:w="85" w:type="dxa"/>
        </w:tblCellMar>
        <w:tblLook w:val="01E0" w:firstRow="1" w:lastRow="1" w:firstColumn="1" w:lastColumn="1" w:noHBand="0" w:noVBand="0"/>
        <w:tblCaption w:val="Table 9"/>
        <w:tblDescription w:val="Table displaying the set up costs for commencing higher education — percentage of expenditure for students aged under 25. Split into both relocated and non-relocated in the following categories: Bond $ — cost; Stocking the pantry; Cleaning products; Linen inc. towels; Electrical items; Furniture $ — cost; Insurance $— cost; Electronic equipment; and Other — cost."/>
      </w:tblPr>
      <w:tblGrid>
        <w:gridCol w:w="849"/>
        <w:gridCol w:w="729"/>
        <w:gridCol w:w="729"/>
        <w:gridCol w:w="729"/>
        <w:gridCol w:w="729"/>
        <w:gridCol w:w="729"/>
        <w:gridCol w:w="728"/>
        <w:gridCol w:w="728"/>
        <w:gridCol w:w="728"/>
        <w:gridCol w:w="728"/>
        <w:gridCol w:w="728"/>
        <w:gridCol w:w="728"/>
        <w:gridCol w:w="728"/>
        <w:gridCol w:w="728"/>
        <w:gridCol w:w="728"/>
        <w:gridCol w:w="728"/>
        <w:gridCol w:w="728"/>
        <w:gridCol w:w="728"/>
        <w:gridCol w:w="723"/>
      </w:tblGrid>
      <w:tr w:rsidR="00C57952" w:rsidRPr="0069502D" w:rsidTr="00DD74D7">
        <w:trPr>
          <w:tblHeader/>
        </w:trPr>
        <w:tc>
          <w:tcPr>
            <w:tcW w:w="304" w:type="pct"/>
            <w:tcBorders>
              <w:top w:val="nil"/>
              <w:left w:val="nil"/>
              <w:bottom w:val="nil"/>
              <w:right w:val="single" w:sz="4" w:space="0" w:color="auto"/>
            </w:tcBorders>
          </w:tcPr>
          <w:p w:rsidR="00C57952" w:rsidRPr="0069502D" w:rsidRDefault="00C57952" w:rsidP="00C57952">
            <w:pPr>
              <w:pStyle w:val="TableText"/>
              <w:rPr>
                <w:rFonts w:asciiTheme="minorHAnsi" w:hAnsiTheme="minorHAnsi"/>
                <w:sz w:val="12"/>
                <w:szCs w:val="12"/>
              </w:rPr>
            </w:pPr>
          </w:p>
        </w:tc>
        <w:tc>
          <w:tcPr>
            <w:tcW w:w="261" w:type="pct"/>
            <w:tcBorders>
              <w:top w:val="single" w:sz="4" w:space="0" w:color="auto"/>
              <w:left w:val="single" w:sz="4" w:space="0" w:color="auto"/>
              <w:bottom w:val="single" w:sz="4" w:space="0" w:color="auto"/>
              <w:right w:val="nil"/>
            </w:tcBorders>
            <w:shd w:val="clear" w:color="auto" w:fill="5B9BD5" w:themeFill="accent1"/>
          </w:tcPr>
          <w:p w:rsidR="00C57952" w:rsidRPr="009D5F55" w:rsidRDefault="00C57952" w:rsidP="00C57952">
            <w:pPr>
              <w:pStyle w:val="TableText"/>
              <w:rPr>
                <w:rFonts w:asciiTheme="minorHAnsi" w:hAnsiTheme="minorHAnsi"/>
                <w:b/>
                <w:color w:val="FFFFFF" w:themeColor="background1"/>
                <w:sz w:val="12"/>
                <w:szCs w:val="12"/>
              </w:rPr>
            </w:pPr>
            <w:r w:rsidRPr="009D5F55">
              <w:rPr>
                <w:rFonts w:asciiTheme="minorHAnsi" w:hAnsiTheme="minorHAnsi"/>
                <w:b/>
                <w:color w:val="FFFFFF" w:themeColor="background1"/>
                <w:sz w:val="12"/>
                <w:szCs w:val="12"/>
              </w:rPr>
              <w:t>Bond $ - Cost</w:t>
            </w:r>
          </w:p>
        </w:tc>
        <w:tc>
          <w:tcPr>
            <w:tcW w:w="261" w:type="pct"/>
            <w:tcBorders>
              <w:top w:val="single" w:sz="4" w:space="0" w:color="auto"/>
              <w:left w:val="nil"/>
              <w:bottom w:val="single" w:sz="4" w:space="0" w:color="auto"/>
              <w:right w:val="single" w:sz="4" w:space="0" w:color="auto"/>
            </w:tcBorders>
            <w:shd w:val="clear" w:color="auto" w:fill="5B9BD5" w:themeFill="accent1"/>
          </w:tcPr>
          <w:p w:rsidR="00C57952" w:rsidRPr="009D5F55" w:rsidRDefault="00C57952" w:rsidP="00C57952">
            <w:pPr>
              <w:pStyle w:val="TableText"/>
              <w:rPr>
                <w:rFonts w:asciiTheme="minorHAnsi" w:hAnsiTheme="minorHAnsi"/>
                <w:b/>
                <w:color w:val="FFFFFF" w:themeColor="background1"/>
                <w:sz w:val="12"/>
                <w:szCs w:val="12"/>
              </w:rPr>
            </w:pPr>
          </w:p>
        </w:tc>
        <w:tc>
          <w:tcPr>
            <w:tcW w:w="261" w:type="pct"/>
            <w:tcBorders>
              <w:top w:val="single" w:sz="4" w:space="0" w:color="auto"/>
              <w:left w:val="single" w:sz="4" w:space="0" w:color="auto"/>
              <w:bottom w:val="single" w:sz="4" w:space="0" w:color="auto"/>
              <w:right w:val="nil"/>
            </w:tcBorders>
            <w:shd w:val="clear" w:color="auto" w:fill="5B9BD5" w:themeFill="accent1"/>
          </w:tcPr>
          <w:p w:rsidR="00C57952" w:rsidRPr="009D5F55" w:rsidRDefault="00C57952" w:rsidP="00C57952">
            <w:pPr>
              <w:pStyle w:val="TableText"/>
              <w:rPr>
                <w:rFonts w:asciiTheme="minorHAnsi" w:hAnsiTheme="minorHAnsi"/>
                <w:b/>
                <w:color w:val="FFFFFF" w:themeColor="background1"/>
                <w:sz w:val="12"/>
                <w:szCs w:val="12"/>
              </w:rPr>
            </w:pPr>
            <w:r w:rsidRPr="009D5F55">
              <w:rPr>
                <w:rFonts w:asciiTheme="minorHAnsi" w:hAnsiTheme="minorHAnsi"/>
                <w:b/>
                <w:color w:val="FFFFFF" w:themeColor="background1"/>
                <w:sz w:val="12"/>
                <w:szCs w:val="12"/>
              </w:rPr>
              <w:t>Stocking the pantry</w:t>
            </w:r>
          </w:p>
        </w:tc>
        <w:tc>
          <w:tcPr>
            <w:tcW w:w="261" w:type="pct"/>
            <w:tcBorders>
              <w:top w:val="single" w:sz="4" w:space="0" w:color="auto"/>
              <w:left w:val="nil"/>
              <w:bottom w:val="single" w:sz="4" w:space="0" w:color="auto"/>
              <w:right w:val="single" w:sz="4" w:space="0" w:color="auto"/>
            </w:tcBorders>
            <w:shd w:val="clear" w:color="auto" w:fill="5B9BD5" w:themeFill="accent1"/>
          </w:tcPr>
          <w:p w:rsidR="00C57952" w:rsidRPr="009D5F55" w:rsidRDefault="00C57952" w:rsidP="00C57952">
            <w:pPr>
              <w:pStyle w:val="TableText"/>
              <w:rPr>
                <w:rFonts w:asciiTheme="minorHAnsi" w:hAnsiTheme="minorHAnsi"/>
                <w:b/>
                <w:color w:val="FFFFFF" w:themeColor="background1"/>
                <w:sz w:val="12"/>
                <w:szCs w:val="12"/>
              </w:rPr>
            </w:pPr>
          </w:p>
        </w:tc>
        <w:tc>
          <w:tcPr>
            <w:tcW w:w="261" w:type="pct"/>
            <w:tcBorders>
              <w:top w:val="single" w:sz="4" w:space="0" w:color="auto"/>
              <w:left w:val="single" w:sz="4" w:space="0" w:color="auto"/>
              <w:bottom w:val="single" w:sz="4" w:space="0" w:color="auto"/>
              <w:right w:val="nil"/>
            </w:tcBorders>
            <w:shd w:val="clear" w:color="auto" w:fill="5B9BD5" w:themeFill="accent1"/>
          </w:tcPr>
          <w:p w:rsidR="00C57952" w:rsidRPr="009D5F55" w:rsidRDefault="00C57952" w:rsidP="00C57952">
            <w:pPr>
              <w:pStyle w:val="TableText"/>
              <w:rPr>
                <w:rFonts w:asciiTheme="minorHAnsi" w:hAnsiTheme="minorHAnsi"/>
                <w:b/>
                <w:color w:val="FFFFFF" w:themeColor="background1"/>
                <w:sz w:val="12"/>
                <w:szCs w:val="12"/>
              </w:rPr>
            </w:pPr>
            <w:r w:rsidRPr="009D5F55">
              <w:rPr>
                <w:rFonts w:asciiTheme="minorHAnsi" w:hAnsiTheme="minorHAnsi"/>
                <w:b/>
                <w:color w:val="FFFFFF" w:themeColor="background1"/>
                <w:sz w:val="12"/>
                <w:szCs w:val="12"/>
              </w:rPr>
              <w:t>Cleaning products</w:t>
            </w:r>
          </w:p>
        </w:tc>
        <w:tc>
          <w:tcPr>
            <w:tcW w:w="261" w:type="pct"/>
            <w:tcBorders>
              <w:top w:val="single" w:sz="4" w:space="0" w:color="auto"/>
              <w:left w:val="nil"/>
              <w:bottom w:val="single" w:sz="4" w:space="0" w:color="auto"/>
              <w:right w:val="single" w:sz="4" w:space="0" w:color="auto"/>
            </w:tcBorders>
            <w:shd w:val="clear" w:color="auto" w:fill="5B9BD5" w:themeFill="accent1"/>
          </w:tcPr>
          <w:p w:rsidR="00C57952" w:rsidRPr="009D5F55" w:rsidRDefault="00C57952" w:rsidP="00C57952">
            <w:pPr>
              <w:pStyle w:val="TableText"/>
              <w:rPr>
                <w:rFonts w:asciiTheme="minorHAnsi" w:hAnsiTheme="minorHAnsi"/>
                <w:b/>
                <w:color w:val="FFFFFF" w:themeColor="background1"/>
                <w:sz w:val="12"/>
                <w:szCs w:val="12"/>
              </w:rPr>
            </w:pPr>
          </w:p>
        </w:tc>
        <w:tc>
          <w:tcPr>
            <w:tcW w:w="261" w:type="pct"/>
            <w:tcBorders>
              <w:top w:val="single" w:sz="4" w:space="0" w:color="auto"/>
              <w:left w:val="single" w:sz="4" w:space="0" w:color="auto"/>
              <w:bottom w:val="single" w:sz="4" w:space="0" w:color="auto"/>
              <w:right w:val="nil"/>
            </w:tcBorders>
            <w:shd w:val="clear" w:color="auto" w:fill="5B9BD5" w:themeFill="accent1"/>
          </w:tcPr>
          <w:p w:rsidR="00C57952" w:rsidRPr="009D5F55" w:rsidRDefault="00C57952" w:rsidP="00C57952">
            <w:pPr>
              <w:pStyle w:val="TableText"/>
              <w:rPr>
                <w:rFonts w:asciiTheme="minorHAnsi" w:hAnsiTheme="minorHAnsi"/>
                <w:b/>
                <w:color w:val="FFFFFF" w:themeColor="background1"/>
                <w:sz w:val="12"/>
                <w:szCs w:val="12"/>
              </w:rPr>
            </w:pPr>
            <w:r w:rsidRPr="009D5F55">
              <w:rPr>
                <w:rFonts w:asciiTheme="minorHAnsi" w:hAnsiTheme="minorHAnsi"/>
                <w:b/>
                <w:color w:val="FFFFFF" w:themeColor="background1"/>
                <w:sz w:val="12"/>
                <w:szCs w:val="12"/>
              </w:rPr>
              <w:t>Linen inc. towels</w:t>
            </w:r>
          </w:p>
        </w:tc>
        <w:tc>
          <w:tcPr>
            <w:tcW w:w="261" w:type="pct"/>
            <w:tcBorders>
              <w:top w:val="single" w:sz="4" w:space="0" w:color="auto"/>
              <w:left w:val="nil"/>
              <w:bottom w:val="single" w:sz="4" w:space="0" w:color="auto"/>
              <w:right w:val="single" w:sz="4" w:space="0" w:color="auto"/>
            </w:tcBorders>
            <w:shd w:val="clear" w:color="auto" w:fill="5B9BD5" w:themeFill="accent1"/>
          </w:tcPr>
          <w:p w:rsidR="00C57952" w:rsidRPr="009D5F55" w:rsidRDefault="00C57952" w:rsidP="00C57952">
            <w:pPr>
              <w:pStyle w:val="TableText"/>
              <w:rPr>
                <w:rFonts w:asciiTheme="minorHAnsi" w:hAnsiTheme="minorHAnsi"/>
                <w:b/>
                <w:color w:val="FFFFFF" w:themeColor="background1"/>
                <w:sz w:val="12"/>
                <w:szCs w:val="12"/>
              </w:rPr>
            </w:pPr>
          </w:p>
        </w:tc>
        <w:tc>
          <w:tcPr>
            <w:tcW w:w="261" w:type="pct"/>
            <w:tcBorders>
              <w:top w:val="single" w:sz="4" w:space="0" w:color="auto"/>
              <w:left w:val="single" w:sz="4" w:space="0" w:color="auto"/>
              <w:bottom w:val="single" w:sz="4" w:space="0" w:color="auto"/>
              <w:right w:val="nil"/>
            </w:tcBorders>
            <w:shd w:val="clear" w:color="auto" w:fill="5B9BD5" w:themeFill="accent1"/>
          </w:tcPr>
          <w:p w:rsidR="00C57952" w:rsidRPr="009D5F55" w:rsidRDefault="00C57952" w:rsidP="00C57952">
            <w:pPr>
              <w:pStyle w:val="TableText"/>
              <w:rPr>
                <w:rFonts w:asciiTheme="minorHAnsi" w:hAnsiTheme="minorHAnsi"/>
                <w:b/>
                <w:color w:val="FFFFFF" w:themeColor="background1"/>
                <w:sz w:val="12"/>
                <w:szCs w:val="12"/>
              </w:rPr>
            </w:pPr>
            <w:r>
              <w:rPr>
                <w:rFonts w:asciiTheme="minorHAnsi" w:hAnsiTheme="minorHAnsi"/>
                <w:b/>
                <w:color w:val="FFFFFF" w:themeColor="background1"/>
                <w:sz w:val="12"/>
                <w:szCs w:val="12"/>
              </w:rPr>
              <w:t>Electrical items</w:t>
            </w:r>
          </w:p>
        </w:tc>
        <w:tc>
          <w:tcPr>
            <w:tcW w:w="261" w:type="pct"/>
            <w:tcBorders>
              <w:top w:val="single" w:sz="4" w:space="0" w:color="auto"/>
              <w:left w:val="nil"/>
              <w:bottom w:val="single" w:sz="4" w:space="0" w:color="auto"/>
              <w:right w:val="single" w:sz="4" w:space="0" w:color="auto"/>
            </w:tcBorders>
            <w:shd w:val="clear" w:color="auto" w:fill="5B9BD5" w:themeFill="accent1"/>
          </w:tcPr>
          <w:p w:rsidR="00C57952" w:rsidRPr="009D5F55" w:rsidRDefault="00C57952" w:rsidP="00C57952">
            <w:pPr>
              <w:pStyle w:val="TableText"/>
              <w:rPr>
                <w:rFonts w:asciiTheme="minorHAnsi" w:hAnsiTheme="minorHAnsi"/>
                <w:b/>
                <w:color w:val="FFFFFF" w:themeColor="background1"/>
                <w:sz w:val="12"/>
                <w:szCs w:val="12"/>
              </w:rPr>
            </w:pPr>
          </w:p>
        </w:tc>
        <w:tc>
          <w:tcPr>
            <w:tcW w:w="261" w:type="pct"/>
            <w:tcBorders>
              <w:top w:val="single" w:sz="4" w:space="0" w:color="auto"/>
              <w:left w:val="single" w:sz="4" w:space="0" w:color="auto"/>
              <w:bottom w:val="single" w:sz="4" w:space="0" w:color="auto"/>
              <w:right w:val="nil"/>
            </w:tcBorders>
            <w:shd w:val="clear" w:color="auto" w:fill="5B9BD5" w:themeFill="accent1"/>
          </w:tcPr>
          <w:p w:rsidR="00C57952" w:rsidRDefault="00C57952" w:rsidP="00C57952">
            <w:pPr>
              <w:pStyle w:val="TableText"/>
              <w:rPr>
                <w:rFonts w:asciiTheme="minorHAnsi" w:hAnsiTheme="minorHAnsi"/>
                <w:b/>
                <w:color w:val="FFFFFF" w:themeColor="background1"/>
                <w:sz w:val="12"/>
                <w:szCs w:val="12"/>
              </w:rPr>
            </w:pPr>
            <w:r w:rsidRPr="009D5F55">
              <w:rPr>
                <w:rFonts w:asciiTheme="minorHAnsi" w:hAnsiTheme="minorHAnsi"/>
                <w:b/>
                <w:color w:val="FFFFFF" w:themeColor="background1"/>
                <w:sz w:val="12"/>
                <w:szCs w:val="12"/>
              </w:rPr>
              <w:t xml:space="preserve">Furniture </w:t>
            </w:r>
          </w:p>
          <w:p w:rsidR="00C57952" w:rsidRPr="009D5F55" w:rsidRDefault="00C57952" w:rsidP="00C57952">
            <w:pPr>
              <w:pStyle w:val="TableText"/>
              <w:rPr>
                <w:rFonts w:asciiTheme="minorHAnsi" w:hAnsiTheme="minorHAnsi"/>
                <w:b/>
                <w:color w:val="FFFFFF" w:themeColor="background1"/>
                <w:sz w:val="12"/>
                <w:szCs w:val="12"/>
              </w:rPr>
            </w:pPr>
            <w:r w:rsidRPr="009D5F55">
              <w:rPr>
                <w:rFonts w:asciiTheme="minorHAnsi" w:hAnsiTheme="minorHAnsi"/>
                <w:b/>
                <w:color w:val="FFFFFF" w:themeColor="background1"/>
                <w:sz w:val="12"/>
                <w:szCs w:val="12"/>
              </w:rPr>
              <w:t>$ - Cost</w:t>
            </w:r>
          </w:p>
        </w:tc>
        <w:tc>
          <w:tcPr>
            <w:tcW w:w="261" w:type="pct"/>
            <w:tcBorders>
              <w:top w:val="single" w:sz="4" w:space="0" w:color="auto"/>
              <w:left w:val="nil"/>
              <w:bottom w:val="single" w:sz="4" w:space="0" w:color="auto"/>
              <w:right w:val="single" w:sz="4" w:space="0" w:color="auto"/>
            </w:tcBorders>
            <w:shd w:val="clear" w:color="auto" w:fill="5B9BD5" w:themeFill="accent1"/>
          </w:tcPr>
          <w:p w:rsidR="00C57952" w:rsidRPr="009D5F55" w:rsidRDefault="00C57952" w:rsidP="00C57952">
            <w:pPr>
              <w:pStyle w:val="TableText"/>
              <w:rPr>
                <w:rFonts w:asciiTheme="minorHAnsi" w:hAnsiTheme="minorHAnsi"/>
                <w:b/>
                <w:color w:val="FFFFFF" w:themeColor="background1"/>
                <w:sz w:val="12"/>
                <w:szCs w:val="12"/>
              </w:rPr>
            </w:pPr>
          </w:p>
        </w:tc>
        <w:tc>
          <w:tcPr>
            <w:tcW w:w="261" w:type="pct"/>
            <w:tcBorders>
              <w:top w:val="single" w:sz="4" w:space="0" w:color="auto"/>
              <w:left w:val="single" w:sz="4" w:space="0" w:color="auto"/>
              <w:bottom w:val="single" w:sz="4" w:space="0" w:color="auto"/>
              <w:right w:val="nil"/>
            </w:tcBorders>
            <w:shd w:val="clear" w:color="auto" w:fill="5B9BD5" w:themeFill="accent1"/>
          </w:tcPr>
          <w:p w:rsidR="00C57952" w:rsidRPr="009D5F55" w:rsidRDefault="00C57952" w:rsidP="00C57952">
            <w:pPr>
              <w:pStyle w:val="TableText"/>
              <w:rPr>
                <w:rFonts w:asciiTheme="minorHAnsi" w:hAnsiTheme="minorHAnsi"/>
                <w:b/>
                <w:color w:val="FFFFFF" w:themeColor="background1"/>
                <w:sz w:val="12"/>
                <w:szCs w:val="12"/>
              </w:rPr>
            </w:pPr>
            <w:r w:rsidRPr="009D5F55">
              <w:rPr>
                <w:rFonts w:asciiTheme="minorHAnsi" w:hAnsiTheme="minorHAnsi"/>
                <w:b/>
                <w:color w:val="FFFFFF" w:themeColor="background1"/>
                <w:sz w:val="12"/>
                <w:szCs w:val="12"/>
              </w:rPr>
              <w:t>Insurance $ - Cost</w:t>
            </w:r>
          </w:p>
        </w:tc>
        <w:tc>
          <w:tcPr>
            <w:tcW w:w="261" w:type="pct"/>
            <w:tcBorders>
              <w:top w:val="single" w:sz="4" w:space="0" w:color="auto"/>
              <w:left w:val="nil"/>
              <w:bottom w:val="single" w:sz="4" w:space="0" w:color="auto"/>
              <w:right w:val="single" w:sz="4" w:space="0" w:color="auto"/>
            </w:tcBorders>
            <w:shd w:val="clear" w:color="auto" w:fill="5B9BD5" w:themeFill="accent1"/>
          </w:tcPr>
          <w:p w:rsidR="00C57952" w:rsidRPr="009D5F55" w:rsidRDefault="00C57952" w:rsidP="00C57952">
            <w:pPr>
              <w:pStyle w:val="TableText"/>
              <w:rPr>
                <w:rFonts w:asciiTheme="minorHAnsi" w:hAnsiTheme="minorHAnsi"/>
                <w:b/>
                <w:color w:val="FFFFFF" w:themeColor="background1"/>
                <w:sz w:val="12"/>
                <w:szCs w:val="12"/>
              </w:rPr>
            </w:pPr>
          </w:p>
        </w:tc>
        <w:tc>
          <w:tcPr>
            <w:tcW w:w="261" w:type="pct"/>
            <w:tcBorders>
              <w:top w:val="single" w:sz="4" w:space="0" w:color="auto"/>
              <w:left w:val="single" w:sz="4" w:space="0" w:color="auto"/>
              <w:bottom w:val="single" w:sz="4" w:space="0" w:color="auto"/>
              <w:right w:val="nil"/>
            </w:tcBorders>
            <w:shd w:val="clear" w:color="auto" w:fill="5B9BD5" w:themeFill="accent1"/>
          </w:tcPr>
          <w:p w:rsidR="00C57952" w:rsidRPr="009D5F55" w:rsidRDefault="00C57952" w:rsidP="00C57952">
            <w:pPr>
              <w:pStyle w:val="TableText"/>
              <w:rPr>
                <w:rFonts w:asciiTheme="minorHAnsi" w:hAnsiTheme="minorHAnsi"/>
                <w:b/>
                <w:color w:val="FFFFFF" w:themeColor="background1"/>
                <w:sz w:val="12"/>
                <w:szCs w:val="12"/>
              </w:rPr>
            </w:pPr>
            <w:r w:rsidRPr="009D5F55">
              <w:rPr>
                <w:rFonts w:asciiTheme="minorHAnsi" w:hAnsiTheme="minorHAnsi"/>
                <w:b/>
                <w:color w:val="FFFFFF" w:themeColor="background1"/>
                <w:sz w:val="12"/>
                <w:szCs w:val="12"/>
              </w:rPr>
              <w:t>Electronic equipment</w:t>
            </w:r>
          </w:p>
        </w:tc>
        <w:tc>
          <w:tcPr>
            <w:tcW w:w="261" w:type="pct"/>
            <w:tcBorders>
              <w:top w:val="single" w:sz="4" w:space="0" w:color="auto"/>
              <w:left w:val="nil"/>
              <w:bottom w:val="single" w:sz="4" w:space="0" w:color="auto"/>
              <w:right w:val="single" w:sz="4" w:space="0" w:color="auto"/>
            </w:tcBorders>
            <w:shd w:val="clear" w:color="auto" w:fill="5B9BD5" w:themeFill="accent1"/>
          </w:tcPr>
          <w:p w:rsidR="00C57952" w:rsidRPr="009D5F55" w:rsidRDefault="00C57952" w:rsidP="00C57952">
            <w:pPr>
              <w:pStyle w:val="TableText"/>
              <w:rPr>
                <w:rFonts w:asciiTheme="minorHAnsi" w:hAnsiTheme="minorHAnsi"/>
                <w:b/>
                <w:color w:val="FFFFFF" w:themeColor="background1"/>
                <w:sz w:val="12"/>
                <w:szCs w:val="12"/>
              </w:rPr>
            </w:pPr>
          </w:p>
        </w:tc>
        <w:tc>
          <w:tcPr>
            <w:tcW w:w="261" w:type="pct"/>
            <w:tcBorders>
              <w:top w:val="single" w:sz="4" w:space="0" w:color="auto"/>
              <w:left w:val="single" w:sz="4" w:space="0" w:color="auto"/>
              <w:bottom w:val="single" w:sz="4" w:space="0" w:color="auto"/>
              <w:right w:val="nil"/>
            </w:tcBorders>
            <w:shd w:val="clear" w:color="auto" w:fill="5B9BD5" w:themeFill="accent1"/>
          </w:tcPr>
          <w:p w:rsidR="00C57952" w:rsidRPr="009D5F55" w:rsidRDefault="00C57952" w:rsidP="00C57952">
            <w:pPr>
              <w:pStyle w:val="TableText"/>
              <w:rPr>
                <w:rFonts w:asciiTheme="minorHAnsi" w:hAnsiTheme="minorHAnsi"/>
                <w:b/>
                <w:color w:val="FFFFFF" w:themeColor="background1"/>
                <w:sz w:val="12"/>
                <w:szCs w:val="12"/>
              </w:rPr>
            </w:pPr>
            <w:r w:rsidRPr="009D5F55">
              <w:rPr>
                <w:rFonts w:asciiTheme="minorHAnsi" w:hAnsiTheme="minorHAnsi"/>
                <w:b/>
                <w:color w:val="FFFFFF" w:themeColor="background1"/>
                <w:sz w:val="12"/>
                <w:szCs w:val="12"/>
              </w:rPr>
              <w:t>Other - Cost</w:t>
            </w:r>
          </w:p>
        </w:tc>
        <w:tc>
          <w:tcPr>
            <w:tcW w:w="259" w:type="pct"/>
            <w:tcBorders>
              <w:top w:val="single" w:sz="4" w:space="0" w:color="auto"/>
              <w:left w:val="nil"/>
              <w:bottom w:val="single" w:sz="4" w:space="0" w:color="auto"/>
              <w:right w:val="single" w:sz="4" w:space="0" w:color="auto"/>
            </w:tcBorders>
            <w:shd w:val="clear" w:color="auto" w:fill="5B9BD5" w:themeFill="accent1"/>
          </w:tcPr>
          <w:p w:rsidR="00C57952" w:rsidRPr="009D5F55" w:rsidRDefault="00C57952" w:rsidP="00C57952">
            <w:pPr>
              <w:pStyle w:val="TableText"/>
              <w:rPr>
                <w:rFonts w:asciiTheme="minorHAnsi" w:hAnsiTheme="minorHAnsi"/>
                <w:b/>
                <w:color w:val="FFFFFF" w:themeColor="background1"/>
                <w:sz w:val="12"/>
                <w:szCs w:val="12"/>
              </w:rPr>
            </w:pPr>
          </w:p>
        </w:tc>
      </w:tr>
      <w:tr w:rsidR="00C57952" w:rsidRPr="0069502D" w:rsidTr="00DD74D7">
        <w:trPr>
          <w:tblHeader/>
        </w:trPr>
        <w:tc>
          <w:tcPr>
            <w:tcW w:w="304" w:type="pct"/>
            <w:tcBorders>
              <w:top w:val="nil"/>
              <w:left w:val="nil"/>
              <w:bottom w:val="single" w:sz="4" w:space="0" w:color="auto"/>
              <w:right w:val="single" w:sz="4" w:space="0" w:color="auto"/>
            </w:tcBorders>
          </w:tcPr>
          <w:p w:rsidR="00C57952" w:rsidRPr="0069502D" w:rsidRDefault="00C57952" w:rsidP="00C57952">
            <w:pPr>
              <w:pStyle w:val="TableText"/>
              <w:rPr>
                <w:rFonts w:asciiTheme="minorHAnsi" w:hAnsiTheme="minorHAnsi"/>
                <w:sz w:val="12"/>
                <w:szCs w:val="12"/>
              </w:rPr>
            </w:pPr>
          </w:p>
        </w:tc>
        <w:tc>
          <w:tcPr>
            <w:tcW w:w="261" w:type="pct"/>
            <w:tcBorders>
              <w:top w:val="single" w:sz="4" w:space="0" w:color="auto"/>
              <w:left w:val="single" w:sz="4" w:space="0" w:color="auto"/>
            </w:tcBorders>
            <w:shd w:val="clear" w:color="auto" w:fill="BDD6EE" w:themeFill="accent1" w:themeFillTint="66"/>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Relocated</w:t>
            </w:r>
          </w:p>
        </w:tc>
        <w:tc>
          <w:tcPr>
            <w:tcW w:w="261" w:type="pct"/>
            <w:tcBorders>
              <w:top w:val="single" w:sz="4" w:space="0" w:color="auto"/>
            </w:tcBorders>
            <w:shd w:val="clear" w:color="auto" w:fill="BDD6EE" w:themeFill="accent1" w:themeFillTint="66"/>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Non-relocated</w:t>
            </w:r>
          </w:p>
        </w:tc>
        <w:tc>
          <w:tcPr>
            <w:tcW w:w="261" w:type="pct"/>
            <w:tcBorders>
              <w:top w:val="single" w:sz="4" w:space="0" w:color="auto"/>
            </w:tcBorders>
            <w:shd w:val="clear" w:color="auto" w:fill="BDD6EE" w:themeFill="accent1" w:themeFillTint="66"/>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Relocated</w:t>
            </w:r>
          </w:p>
        </w:tc>
        <w:tc>
          <w:tcPr>
            <w:tcW w:w="261" w:type="pct"/>
            <w:tcBorders>
              <w:top w:val="single" w:sz="4" w:space="0" w:color="auto"/>
            </w:tcBorders>
            <w:shd w:val="clear" w:color="auto" w:fill="BDD6EE" w:themeFill="accent1" w:themeFillTint="66"/>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Non-relocated</w:t>
            </w:r>
          </w:p>
        </w:tc>
        <w:tc>
          <w:tcPr>
            <w:tcW w:w="261" w:type="pct"/>
            <w:tcBorders>
              <w:top w:val="single" w:sz="4" w:space="0" w:color="auto"/>
            </w:tcBorders>
            <w:shd w:val="clear" w:color="auto" w:fill="BDD6EE" w:themeFill="accent1" w:themeFillTint="66"/>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Relocated</w:t>
            </w:r>
          </w:p>
        </w:tc>
        <w:tc>
          <w:tcPr>
            <w:tcW w:w="261" w:type="pct"/>
            <w:tcBorders>
              <w:top w:val="single" w:sz="4" w:space="0" w:color="auto"/>
            </w:tcBorders>
            <w:shd w:val="clear" w:color="auto" w:fill="BDD6EE" w:themeFill="accent1" w:themeFillTint="66"/>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Non-relocated</w:t>
            </w:r>
          </w:p>
        </w:tc>
        <w:tc>
          <w:tcPr>
            <w:tcW w:w="261" w:type="pct"/>
            <w:tcBorders>
              <w:top w:val="single" w:sz="4" w:space="0" w:color="auto"/>
            </w:tcBorders>
            <w:shd w:val="clear" w:color="auto" w:fill="BDD6EE" w:themeFill="accent1" w:themeFillTint="66"/>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Relocated</w:t>
            </w:r>
          </w:p>
        </w:tc>
        <w:tc>
          <w:tcPr>
            <w:tcW w:w="261" w:type="pct"/>
            <w:tcBorders>
              <w:top w:val="single" w:sz="4" w:space="0" w:color="auto"/>
            </w:tcBorders>
            <w:shd w:val="clear" w:color="auto" w:fill="BDD6EE" w:themeFill="accent1" w:themeFillTint="66"/>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Non-relocated</w:t>
            </w:r>
          </w:p>
        </w:tc>
        <w:tc>
          <w:tcPr>
            <w:tcW w:w="261" w:type="pct"/>
            <w:tcBorders>
              <w:top w:val="single" w:sz="4" w:space="0" w:color="auto"/>
            </w:tcBorders>
            <w:shd w:val="clear" w:color="auto" w:fill="BDD6EE" w:themeFill="accent1" w:themeFillTint="66"/>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Relocated</w:t>
            </w:r>
          </w:p>
        </w:tc>
        <w:tc>
          <w:tcPr>
            <w:tcW w:w="261" w:type="pct"/>
            <w:tcBorders>
              <w:top w:val="single" w:sz="4" w:space="0" w:color="auto"/>
            </w:tcBorders>
            <w:shd w:val="clear" w:color="auto" w:fill="BDD6EE" w:themeFill="accent1" w:themeFillTint="66"/>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Non-relocated</w:t>
            </w:r>
          </w:p>
        </w:tc>
        <w:tc>
          <w:tcPr>
            <w:tcW w:w="261" w:type="pct"/>
            <w:tcBorders>
              <w:top w:val="single" w:sz="4" w:space="0" w:color="auto"/>
            </w:tcBorders>
            <w:shd w:val="clear" w:color="auto" w:fill="BDD6EE" w:themeFill="accent1" w:themeFillTint="66"/>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Relocated</w:t>
            </w:r>
          </w:p>
        </w:tc>
        <w:tc>
          <w:tcPr>
            <w:tcW w:w="261" w:type="pct"/>
            <w:tcBorders>
              <w:top w:val="single" w:sz="4" w:space="0" w:color="auto"/>
            </w:tcBorders>
            <w:shd w:val="clear" w:color="auto" w:fill="BDD6EE" w:themeFill="accent1" w:themeFillTint="66"/>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Non-relocated</w:t>
            </w:r>
          </w:p>
        </w:tc>
        <w:tc>
          <w:tcPr>
            <w:tcW w:w="261" w:type="pct"/>
            <w:tcBorders>
              <w:top w:val="single" w:sz="4" w:space="0" w:color="auto"/>
            </w:tcBorders>
            <w:shd w:val="clear" w:color="auto" w:fill="BDD6EE" w:themeFill="accent1" w:themeFillTint="66"/>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Relocated</w:t>
            </w:r>
          </w:p>
        </w:tc>
        <w:tc>
          <w:tcPr>
            <w:tcW w:w="261" w:type="pct"/>
            <w:tcBorders>
              <w:top w:val="single" w:sz="4" w:space="0" w:color="auto"/>
            </w:tcBorders>
            <w:shd w:val="clear" w:color="auto" w:fill="BDD6EE" w:themeFill="accent1" w:themeFillTint="66"/>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Non-relocated</w:t>
            </w:r>
          </w:p>
        </w:tc>
        <w:tc>
          <w:tcPr>
            <w:tcW w:w="261" w:type="pct"/>
            <w:tcBorders>
              <w:top w:val="single" w:sz="4" w:space="0" w:color="auto"/>
            </w:tcBorders>
            <w:shd w:val="clear" w:color="auto" w:fill="BDD6EE" w:themeFill="accent1" w:themeFillTint="66"/>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Relocated</w:t>
            </w:r>
          </w:p>
        </w:tc>
        <w:tc>
          <w:tcPr>
            <w:tcW w:w="261" w:type="pct"/>
            <w:tcBorders>
              <w:top w:val="single" w:sz="4" w:space="0" w:color="auto"/>
            </w:tcBorders>
            <w:shd w:val="clear" w:color="auto" w:fill="BDD6EE" w:themeFill="accent1" w:themeFillTint="66"/>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Non-relocated</w:t>
            </w:r>
          </w:p>
        </w:tc>
        <w:tc>
          <w:tcPr>
            <w:tcW w:w="261" w:type="pct"/>
            <w:tcBorders>
              <w:top w:val="single" w:sz="4" w:space="0" w:color="auto"/>
            </w:tcBorders>
            <w:shd w:val="clear" w:color="auto" w:fill="BDD6EE" w:themeFill="accent1" w:themeFillTint="66"/>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Relocated</w:t>
            </w:r>
          </w:p>
        </w:tc>
        <w:tc>
          <w:tcPr>
            <w:tcW w:w="259" w:type="pct"/>
            <w:tcBorders>
              <w:top w:val="single" w:sz="4" w:space="0" w:color="auto"/>
            </w:tcBorders>
            <w:shd w:val="clear" w:color="auto" w:fill="BDD6EE" w:themeFill="accent1" w:themeFillTint="66"/>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Non-relocated</w:t>
            </w:r>
          </w:p>
        </w:tc>
      </w:tr>
      <w:tr w:rsidR="00C57952" w:rsidRPr="0069502D" w:rsidTr="00C57952">
        <w:tc>
          <w:tcPr>
            <w:tcW w:w="304" w:type="pct"/>
            <w:tcBorders>
              <w:top w:val="single" w:sz="4" w:space="0" w:color="auto"/>
            </w:tcBorders>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$0-$124</w:t>
            </w:r>
          </w:p>
        </w:tc>
        <w:tc>
          <w:tcPr>
            <w:tcW w:w="261" w:type="pct"/>
          </w:tcPr>
          <w:p w:rsidR="00C57952" w:rsidRPr="009D5F55" w:rsidRDefault="00C57952" w:rsidP="00C57952">
            <w:pPr>
              <w:pStyle w:val="TableText"/>
              <w:rPr>
                <w:rFonts w:asciiTheme="minorHAnsi" w:hAnsiTheme="minorHAnsi"/>
                <w:sz w:val="12"/>
                <w:szCs w:val="12"/>
              </w:rPr>
            </w:pPr>
            <w:r>
              <w:rPr>
                <w:rFonts w:asciiTheme="minorHAnsi" w:hAnsiTheme="minorHAnsi"/>
                <w:sz w:val="12"/>
                <w:szCs w:val="12"/>
              </w:rPr>
              <w:t>2.7</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3.8</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32.3</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17.3</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51.0</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25.0</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41.2</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19.2</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27.1</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13.5</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12.1</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3.8</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12.1</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16.7</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9.7</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5.7</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5.9</w:t>
            </w:r>
          </w:p>
        </w:tc>
        <w:tc>
          <w:tcPr>
            <w:tcW w:w="259"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5.6</w:t>
            </w:r>
          </w:p>
        </w:tc>
      </w:tr>
      <w:tr w:rsidR="00C57952" w:rsidRPr="0069502D" w:rsidTr="00C57952">
        <w:tc>
          <w:tcPr>
            <w:tcW w:w="304" w:type="pct"/>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$125-$250</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4.7</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1.9</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36.5</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17.3</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19.5</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7.7</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29.6</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5.8</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22.9</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7.7</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10.2</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9.6</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6.1</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8.3</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7.8</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1.9</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10.2</w:t>
            </w:r>
          </w:p>
        </w:tc>
        <w:tc>
          <w:tcPr>
            <w:tcW w:w="259"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5.6</w:t>
            </w:r>
          </w:p>
        </w:tc>
      </w:tr>
      <w:tr w:rsidR="00C57952" w:rsidRPr="0069502D" w:rsidTr="00C57952">
        <w:tc>
          <w:tcPr>
            <w:tcW w:w="304" w:type="pct"/>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$251-$500</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12.8</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3.8</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10.4</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3.8</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5.7</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5.8</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10.4</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11.5</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15.5</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11.5</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13.3</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7.7</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8.2</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4.2</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7.8</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7.5</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10.2</w:t>
            </w:r>
          </w:p>
        </w:tc>
        <w:tc>
          <w:tcPr>
            <w:tcW w:w="259"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2.8</w:t>
            </w:r>
          </w:p>
        </w:tc>
      </w:tr>
      <w:tr w:rsidR="00C57952" w:rsidRPr="0069502D" w:rsidTr="00C57952">
        <w:tc>
          <w:tcPr>
            <w:tcW w:w="304" w:type="pct"/>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$501-$750</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14.3</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7.5</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2.7</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5.8</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1.1</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1.9</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3.1</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6.2</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1.9</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7.0</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1.9</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5.6</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4.2</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5.4</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3.8</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2.5</w:t>
            </w:r>
          </w:p>
        </w:tc>
        <w:tc>
          <w:tcPr>
            <w:tcW w:w="259"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5.6</w:t>
            </w:r>
          </w:p>
        </w:tc>
      </w:tr>
      <w:tr w:rsidR="00C57952" w:rsidRPr="0069502D" w:rsidTr="00C57952">
        <w:tc>
          <w:tcPr>
            <w:tcW w:w="304" w:type="pct"/>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$751-$1000</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12.8</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9.4</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1.2</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0.8</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1.2</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3.1</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9.0</w:t>
            </w:r>
          </w:p>
        </w:tc>
        <w:tc>
          <w:tcPr>
            <w:tcW w:w="261" w:type="pct"/>
          </w:tcPr>
          <w:p w:rsidR="00C57952" w:rsidRPr="0069502D" w:rsidRDefault="00C57952" w:rsidP="00C57952">
            <w:pPr>
              <w:pStyle w:val="TableText"/>
              <w:rPr>
                <w:rFonts w:asciiTheme="minorHAnsi" w:hAnsiTheme="minorHAnsi"/>
                <w:sz w:val="12"/>
                <w:szCs w:val="12"/>
              </w:rPr>
            </w:pP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2.2</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2.1</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12.5</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9.4</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2.5</w:t>
            </w:r>
          </w:p>
        </w:tc>
        <w:tc>
          <w:tcPr>
            <w:tcW w:w="259"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N/A</w:t>
            </w:r>
          </w:p>
        </w:tc>
      </w:tr>
      <w:tr w:rsidR="00C57952" w:rsidRPr="0069502D" w:rsidTr="00C57952">
        <w:tc>
          <w:tcPr>
            <w:tcW w:w="304" w:type="pct"/>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$1001-$1250</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10.1</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3.8</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0.4</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5.5</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1.9</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0.4</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13.2</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11.3</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0.8</w:t>
            </w:r>
          </w:p>
        </w:tc>
        <w:tc>
          <w:tcPr>
            <w:tcW w:w="259"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N/A</w:t>
            </w:r>
          </w:p>
        </w:tc>
      </w:tr>
      <w:tr w:rsidR="00C57952" w:rsidRPr="0069502D" w:rsidTr="00C57952">
        <w:tc>
          <w:tcPr>
            <w:tcW w:w="304" w:type="pct"/>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$1251-$1500</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4.7</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1.9</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0.4</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1.9</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2.7</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1.9</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0.4</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9.3</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11.3</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N/A</w:t>
            </w:r>
          </w:p>
        </w:tc>
        <w:tc>
          <w:tcPr>
            <w:tcW w:w="259"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N/A</w:t>
            </w:r>
          </w:p>
        </w:tc>
      </w:tr>
      <w:tr w:rsidR="00C57952" w:rsidRPr="0069502D" w:rsidTr="00C57952">
        <w:tc>
          <w:tcPr>
            <w:tcW w:w="304" w:type="pct"/>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$1501-$1750</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3.5</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1.9</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3.1</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0.4</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8.2</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5.7</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N/A</w:t>
            </w:r>
          </w:p>
        </w:tc>
        <w:tc>
          <w:tcPr>
            <w:tcW w:w="259"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2.8</w:t>
            </w:r>
          </w:p>
        </w:tc>
      </w:tr>
      <w:tr w:rsidR="00C57952" w:rsidRPr="0069502D" w:rsidTr="00C57952">
        <w:tc>
          <w:tcPr>
            <w:tcW w:w="304" w:type="pct"/>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$1751-$2000</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2.7</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1.9</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0.4</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3.1</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2.1</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4.3</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N/A</w:t>
            </w:r>
          </w:p>
        </w:tc>
        <w:tc>
          <w:tcPr>
            <w:tcW w:w="259"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N/A</w:t>
            </w:r>
          </w:p>
        </w:tc>
      </w:tr>
      <w:tr w:rsidR="00C57952" w:rsidRPr="0069502D" w:rsidTr="00C57952">
        <w:tc>
          <w:tcPr>
            <w:tcW w:w="304" w:type="pct"/>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$2,000</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2.7</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0.4</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5.5</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11.5</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8.6</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11.3</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3.4</w:t>
            </w:r>
          </w:p>
        </w:tc>
        <w:tc>
          <w:tcPr>
            <w:tcW w:w="259"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5.6</w:t>
            </w:r>
          </w:p>
        </w:tc>
      </w:tr>
      <w:tr w:rsidR="00C57952" w:rsidRPr="0069502D" w:rsidTr="00C57952">
        <w:tc>
          <w:tcPr>
            <w:tcW w:w="304" w:type="pct"/>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Not Applicable</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29.1</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66.0</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16.9</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55.8</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21.8</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59.6</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14.2</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63.5</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24.0</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63.5</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28.5</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49.2</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64.5</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62.5</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32.1</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32.1</w:t>
            </w:r>
          </w:p>
        </w:tc>
        <w:tc>
          <w:tcPr>
            <w:tcW w:w="261"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64.4</w:t>
            </w:r>
          </w:p>
        </w:tc>
        <w:tc>
          <w:tcPr>
            <w:tcW w:w="259" w:type="pct"/>
          </w:tcPr>
          <w:p w:rsidR="00C57952" w:rsidRPr="0069502D" w:rsidRDefault="00C57952" w:rsidP="00C57952">
            <w:pPr>
              <w:pStyle w:val="TableText"/>
              <w:rPr>
                <w:rFonts w:asciiTheme="minorHAnsi" w:hAnsiTheme="minorHAnsi"/>
                <w:sz w:val="12"/>
                <w:szCs w:val="12"/>
              </w:rPr>
            </w:pPr>
            <w:r>
              <w:rPr>
                <w:rFonts w:asciiTheme="minorHAnsi" w:hAnsiTheme="minorHAnsi"/>
                <w:sz w:val="12"/>
                <w:szCs w:val="12"/>
              </w:rPr>
              <w:t>72.2</w:t>
            </w:r>
          </w:p>
        </w:tc>
      </w:tr>
    </w:tbl>
    <w:p w:rsidR="0069502D" w:rsidRDefault="0069502D" w:rsidP="00B43F79"/>
    <w:tbl>
      <w:tblPr>
        <w:tblpPr w:leftFromText="180" w:rightFromText="180" w:vertAnchor="text" w:horzAnchor="margin" w:tblpY="50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85" w:type="dxa"/>
          <w:bottom w:w="11" w:type="dxa"/>
          <w:right w:w="85" w:type="dxa"/>
        </w:tblCellMar>
        <w:tblLook w:val="01E0" w:firstRow="1" w:lastRow="1" w:firstColumn="1" w:lastColumn="1" w:noHBand="0" w:noVBand="0"/>
        <w:tblCaption w:val="Table 10"/>
        <w:tblDescription w:val="Table displaying the set up costs for commencing higher education — percentage of expenditure for students aged 25 and over. Split into both relocated and non-relocated in the following categories: Bond $ — cost; Stocking the pantry; Cleaning products; Linen inc. towels; Electrical items; Furniture $ — cost; Insurance $ — cost; Electronic equipment; and Other — cost."/>
      </w:tblPr>
      <w:tblGrid>
        <w:gridCol w:w="849"/>
        <w:gridCol w:w="729"/>
        <w:gridCol w:w="729"/>
        <w:gridCol w:w="729"/>
        <w:gridCol w:w="729"/>
        <w:gridCol w:w="729"/>
        <w:gridCol w:w="728"/>
        <w:gridCol w:w="728"/>
        <w:gridCol w:w="728"/>
        <w:gridCol w:w="728"/>
        <w:gridCol w:w="728"/>
        <w:gridCol w:w="728"/>
        <w:gridCol w:w="728"/>
        <w:gridCol w:w="728"/>
        <w:gridCol w:w="728"/>
        <w:gridCol w:w="728"/>
        <w:gridCol w:w="728"/>
        <w:gridCol w:w="728"/>
        <w:gridCol w:w="723"/>
      </w:tblGrid>
      <w:tr w:rsidR="00C57952" w:rsidRPr="0069502D" w:rsidTr="00DD74D7">
        <w:trPr>
          <w:tblHeader/>
        </w:trPr>
        <w:tc>
          <w:tcPr>
            <w:tcW w:w="304" w:type="pct"/>
            <w:tcBorders>
              <w:top w:val="nil"/>
              <w:left w:val="nil"/>
              <w:bottom w:val="nil"/>
              <w:right w:val="single" w:sz="4" w:space="0" w:color="auto"/>
            </w:tcBorders>
          </w:tcPr>
          <w:p w:rsidR="00C57952" w:rsidRPr="0069502D" w:rsidRDefault="00C57952" w:rsidP="00C57952">
            <w:pPr>
              <w:pStyle w:val="TableText"/>
              <w:rPr>
                <w:rFonts w:asciiTheme="minorHAnsi" w:hAnsiTheme="minorHAnsi"/>
                <w:sz w:val="12"/>
                <w:szCs w:val="12"/>
              </w:rPr>
            </w:pPr>
          </w:p>
        </w:tc>
        <w:tc>
          <w:tcPr>
            <w:tcW w:w="261" w:type="pct"/>
            <w:tcBorders>
              <w:top w:val="single" w:sz="4" w:space="0" w:color="auto"/>
              <w:left w:val="single" w:sz="4" w:space="0" w:color="auto"/>
              <w:bottom w:val="single" w:sz="4" w:space="0" w:color="auto"/>
              <w:right w:val="nil"/>
            </w:tcBorders>
            <w:shd w:val="clear" w:color="auto" w:fill="5B9BD5" w:themeFill="accent1"/>
          </w:tcPr>
          <w:p w:rsidR="00C57952" w:rsidRPr="009D5F55" w:rsidRDefault="00C57952" w:rsidP="00C57952">
            <w:pPr>
              <w:pStyle w:val="TableText"/>
              <w:rPr>
                <w:rFonts w:asciiTheme="minorHAnsi" w:hAnsiTheme="minorHAnsi"/>
                <w:b/>
                <w:color w:val="FFFFFF" w:themeColor="background1"/>
                <w:sz w:val="12"/>
                <w:szCs w:val="12"/>
              </w:rPr>
            </w:pPr>
            <w:r w:rsidRPr="009D5F55">
              <w:rPr>
                <w:rFonts w:asciiTheme="minorHAnsi" w:hAnsiTheme="minorHAnsi"/>
                <w:b/>
                <w:color w:val="FFFFFF" w:themeColor="background1"/>
                <w:sz w:val="12"/>
                <w:szCs w:val="12"/>
              </w:rPr>
              <w:t>Bond $ - Cost</w:t>
            </w:r>
          </w:p>
        </w:tc>
        <w:tc>
          <w:tcPr>
            <w:tcW w:w="261" w:type="pct"/>
            <w:tcBorders>
              <w:top w:val="single" w:sz="4" w:space="0" w:color="auto"/>
              <w:left w:val="nil"/>
              <w:bottom w:val="single" w:sz="4" w:space="0" w:color="auto"/>
              <w:right w:val="single" w:sz="4" w:space="0" w:color="auto"/>
            </w:tcBorders>
            <w:shd w:val="clear" w:color="auto" w:fill="5B9BD5" w:themeFill="accent1"/>
          </w:tcPr>
          <w:p w:rsidR="00C57952" w:rsidRPr="009D5F55" w:rsidRDefault="00C57952" w:rsidP="00C57952">
            <w:pPr>
              <w:pStyle w:val="TableText"/>
              <w:rPr>
                <w:rFonts w:asciiTheme="minorHAnsi" w:hAnsiTheme="minorHAnsi"/>
                <w:b/>
                <w:color w:val="FFFFFF" w:themeColor="background1"/>
                <w:sz w:val="12"/>
                <w:szCs w:val="12"/>
              </w:rPr>
            </w:pPr>
          </w:p>
        </w:tc>
        <w:tc>
          <w:tcPr>
            <w:tcW w:w="261" w:type="pct"/>
            <w:tcBorders>
              <w:top w:val="single" w:sz="4" w:space="0" w:color="auto"/>
              <w:left w:val="single" w:sz="4" w:space="0" w:color="auto"/>
              <w:bottom w:val="single" w:sz="4" w:space="0" w:color="auto"/>
              <w:right w:val="nil"/>
            </w:tcBorders>
            <w:shd w:val="clear" w:color="auto" w:fill="5B9BD5" w:themeFill="accent1"/>
          </w:tcPr>
          <w:p w:rsidR="00C57952" w:rsidRPr="009D5F55" w:rsidRDefault="00C57952" w:rsidP="00C57952">
            <w:pPr>
              <w:pStyle w:val="TableText"/>
              <w:rPr>
                <w:rFonts w:asciiTheme="minorHAnsi" w:hAnsiTheme="minorHAnsi"/>
                <w:b/>
                <w:color w:val="FFFFFF" w:themeColor="background1"/>
                <w:sz w:val="12"/>
                <w:szCs w:val="12"/>
              </w:rPr>
            </w:pPr>
            <w:r w:rsidRPr="009D5F55">
              <w:rPr>
                <w:rFonts w:asciiTheme="minorHAnsi" w:hAnsiTheme="minorHAnsi"/>
                <w:b/>
                <w:color w:val="FFFFFF" w:themeColor="background1"/>
                <w:sz w:val="12"/>
                <w:szCs w:val="12"/>
              </w:rPr>
              <w:t>Stocking the pantry</w:t>
            </w:r>
          </w:p>
        </w:tc>
        <w:tc>
          <w:tcPr>
            <w:tcW w:w="261" w:type="pct"/>
            <w:tcBorders>
              <w:top w:val="single" w:sz="4" w:space="0" w:color="auto"/>
              <w:left w:val="nil"/>
              <w:bottom w:val="single" w:sz="4" w:space="0" w:color="auto"/>
              <w:right w:val="single" w:sz="4" w:space="0" w:color="auto"/>
            </w:tcBorders>
            <w:shd w:val="clear" w:color="auto" w:fill="5B9BD5" w:themeFill="accent1"/>
          </w:tcPr>
          <w:p w:rsidR="00C57952" w:rsidRPr="009D5F55" w:rsidRDefault="00C57952" w:rsidP="00C57952">
            <w:pPr>
              <w:pStyle w:val="TableText"/>
              <w:rPr>
                <w:rFonts w:asciiTheme="minorHAnsi" w:hAnsiTheme="minorHAnsi"/>
                <w:b/>
                <w:color w:val="FFFFFF" w:themeColor="background1"/>
                <w:sz w:val="12"/>
                <w:szCs w:val="12"/>
              </w:rPr>
            </w:pPr>
          </w:p>
        </w:tc>
        <w:tc>
          <w:tcPr>
            <w:tcW w:w="261" w:type="pct"/>
            <w:tcBorders>
              <w:top w:val="single" w:sz="4" w:space="0" w:color="auto"/>
              <w:left w:val="single" w:sz="4" w:space="0" w:color="auto"/>
              <w:bottom w:val="single" w:sz="4" w:space="0" w:color="auto"/>
              <w:right w:val="nil"/>
            </w:tcBorders>
            <w:shd w:val="clear" w:color="auto" w:fill="5B9BD5" w:themeFill="accent1"/>
          </w:tcPr>
          <w:p w:rsidR="00C57952" w:rsidRPr="009D5F55" w:rsidRDefault="00C57952" w:rsidP="00C57952">
            <w:pPr>
              <w:pStyle w:val="TableText"/>
              <w:rPr>
                <w:rFonts w:asciiTheme="minorHAnsi" w:hAnsiTheme="minorHAnsi"/>
                <w:b/>
                <w:color w:val="FFFFFF" w:themeColor="background1"/>
                <w:sz w:val="12"/>
                <w:szCs w:val="12"/>
              </w:rPr>
            </w:pPr>
            <w:r w:rsidRPr="009D5F55">
              <w:rPr>
                <w:rFonts w:asciiTheme="minorHAnsi" w:hAnsiTheme="minorHAnsi"/>
                <w:b/>
                <w:color w:val="FFFFFF" w:themeColor="background1"/>
                <w:sz w:val="12"/>
                <w:szCs w:val="12"/>
              </w:rPr>
              <w:t>Cleaning products</w:t>
            </w:r>
          </w:p>
        </w:tc>
        <w:tc>
          <w:tcPr>
            <w:tcW w:w="261" w:type="pct"/>
            <w:tcBorders>
              <w:top w:val="single" w:sz="4" w:space="0" w:color="auto"/>
              <w:left w:val="nil"/>
              <w:bottom w:val="single" w:sz="4" w:space="0" w:color="auto"/>
              <w:right w:val="single" w:sz="4" w:space="0" w:color="auto"/>
            </w:tcBorders>
            <w:shd w:val="clear" w:color="auto" w:fill="5B9BD5" w:themeFill="accent1"/>
          </w:tcPr>
          <w:p w:rsidR="00C57952" w:rsidRPr="009D5F55" w:rsidRDefault="00C57952" w:rsidP="00C57952">
            <w:pPr>
              <w:pStyle w:val="TableText"/>
              <w:rPr>
                <w:rFonts w:asciiTheme="minorHAnsi" w:hAnsiTheme="minorHAnsi"/>
                <w:b/>
                <w:color w:val="FFFFFF" w:themeColor="background1"/>
                <w:sz w:val="12"/>
                <w:szCs w:val="12"/>
              </w:rPr>
            </w:pPr>
          </w:p>
        </w:tc>
        <w:tc>
          <w:tcPr>
            <w:tcW w:w="261" w:type="pct"/>
            <w:tcBorders>
              <w:top w:val="single" w:sz="4" w:space="0" w:color="auto"/>
              <w:left w:val="single" w:sz="4" w:space="0" w:color="auto"/>
              <w:bottom w:val="single" w:sz="4" w:space="0" w:color="auto"/>
              <w:right w:val="nil"/>
            </w:tcBorders>
            <w:shd w:val="clear" w:color="auto" w:fill="5B9BD5" w:themeFill="accent1"/>
          </w:tcPr>
          <w:p w:rsidR="00C57952" w:rsidRPr="009D5F55" w:rsidRDefault="00C57952" w:rsidP="00C57952">
            <w:pPr>
              <w:pStyle w:val="TableText"/>
              <w:rPr>
                <w:rFonts w:asciiTheme="minorHAnsi" w:hAnsiTheme="minorHAnsi"/>
                <w:b/>
                <w:color w:val="FFFFFF" w:themeColor="background1"/>
                <w:sz w:val="12"/>
                <w:szCs w:val="12"/>
              </w:rPr>
            </w:pPr>
            <w:r w:rsidRPr="009D5F55">
              <w:rPr>
                <w:rFonts w:asciiTheme="minorHAnsi" w:hAnsiTheme="minorHAnsi"/>
                <w:b/>
                <w:color w:val="FFFFFF" w:themeColor="background1"/>
                <w:sz w:val="12"/>
                <w:szCs w:val="12"/>
              </w:rPr>
              <w:t>Linen inc. towels</w:t>
            </w:r>
          </w:p>
        </w:tc>
        <w:tc>
          <w:tcPr>
            <w:tcW w:w="261" w:type="pct"/>
            <w:tcBorders>
              <w:top w:val="single" w:sz="4" w:space="0" w:color="auto"/>
              <w:left w:val="nil"/>
              <w:bottom w:val="single" w:sz="4" w:space="0" w:color="auto"/>
              <w:right w:val="single" w:sz="4" w:space="0" w:color="auto"/>
            </w:tcBorders>
            <w:shd w:val="clear" w:color="auto" w:fill="5B9BD5" w:themeFill="accent1"/>
          </w:tcPr>
          <w:p w:rsidR="00C57952" w:rsidRPr="009D5F55" w:rsidRDefault="00C57952" w:rsidP="00C57952">
            <w:pPr>
              <w:pStyle w:val="TableText"/>
              <w:rPr>
                <w:rFonts w:asciiTheme="minorHAnsi" w:hAnsiTheme="minorHAnsi"/>
                <w:b/>
                <w:color w:val="FFFFFF" w:themeColor="background1"/>
                <w:sz w:val="12"/>
                <w:szCs w:val="12"/>
              </w:rPr>
            </w:pPr>
          </w:p>
        </w:tc>
        <w:tc>
          <w:tcPr>
            <w:tcW w:w="261" w:type="pct"/>
            <w:tcBorders>
              <w:top w:val="single" w:sz="4" w:space="0" w:color="auto"/>
              <w:left w:val="single" w:sz="4" w:space="0" w:color="auto"/>
              <w:bottom w:val="single" w:sz="4" w:space="0" w:color="auto"/>
              <w:right w:val="nil"/>
            </w:tcBorders>
            <w:shd w:val="clear" w:color="auto" w:fill="5B9BD5" w:themeFill="accent1"/>
          </w:tcPr>
          <w:p w:rsidR="00C57952" w:rsidRPr="009D5F55" w:rsidRDefault="00C57952" w:rsidP="00C57952">
            <w:pPr>
              <w:pStyle w:val="TableText"/>
              <w:rPr>
                <w:rFonts w:asciiTheme="minorHAnsi" w:hAnsiTheme="minorHAnsi"/>
                <w:b/>
                <w:color w:val="FFFFFF" w:themeColor="background1"/>
                <w:sz w:val="12"/>
                <w:szCs w:val="12"/>
              </w:rPr>
            </w:pPr>
            <w:r>
              <w:rPr>
                <w:rFonts w:asciiTheme="minorHAnsi" w:hAnsiTheme="minorHAnsi"/>
                <w:b/>
                <w:color w:val="FFFFFF" w:themeColor="background1"/>
                <w:sz w:val="12"/>
                <w:szCs w:val="12"/>
              </w:rPr>
              <w:t>Electrical items</w:t>
            </w:r>
          </w:p>
        </w:tc>
        <w:tc>
          <w:tcPr>
            <w:tcW w:w="261" w:type="pct"/>
            <w:tcBorders>
              <w:top w:val="single" w:sz="4" w:space="0" w:color="auto"/>
              <w:left w:val="nil"/>
              <w:bottom w:val="single" w:sz="4" w:space="0" w:color="auto"/>
              <w:right w:val="single" w:sz="4" w:space="0" w:color="auto"/>
            </w:tcBorders>
            <w:shd w:val="clear" w:color="auto" w:fill="5B9BD5" w:themeFill="accent1"/>
          </w:tcPr>
          <w:p w:rsidR="00C57952" w:rsidRPr="009D5F55" w:rsidRDefault="00C57952" w:rsidP="00C57952">
            <w:pPr>
              <w:pStyle w:val="TableText"/>
              <w:rPr>
                <w:rFonts w:asciiTheme="minorHAnsi" w:hAnsiTheme="minorHAnsi"/>
                <w:b/>
                <w:color w:val="FFFFFF" w:themeColor="background1"/>
                <w:sz w:val="12"/>
                <w:szCs w:val="12"/>
              </w:rPr>
            </w:pPr>
          </w:p>
        </w:tc>
        <w:tc>
          <w:tcPr>
            <w:tcW w:w="261" w:type="pct"/>
            <w:tcBorders>
              <w:top w:val="single" w:sz="4" w:space="0" w:color="auto"/>
              <w:left w:val="single" w:sz="4" w:space="0" w:color="auto"/>
              <w:bottom w:val="single" w:sz="4" w:space="0" w:color="auto"/>
              <w:right w:val="nil"/>
            </w:tcBorders>
            <w:shd w:val="clear" w:color="auto" w:fill="5B9BD5" w:themeFill="accent1"/>
          </w:tcPr>
          <w:p w:rsidR="00C57952" w:rsidRPr="009D5F55" w:rsidRDefault="00C57952" w:rsidP="00C57952">
            <w:pPr>
              <w:pStyle w:val="TableText"/>
              <w:rPr>
                <w:rFonts w:asciiTheme="minorHAnsi" w:hAnsiTheme="minorHAnsi"/>
                <w:b/>
                <w:color w:val="FFFFFF" w:themeColor="background1"/>
                <w:sz w:val="12"/>
                <w:szCs w:val="12"/>
              </w:rPr>
            </w:pPr>
            <w:r w:rsidRPr="009D5F55">
              <w:rPr>
                <w:rFonts w:asciiTheme="minorHAnsi" w:hAnsiTheme="minorHAnsi"/>
                <w:b/>
                <w:color w:val="FFFFFF" w:themeColor="background1"/>
                <w:sz w:val="12"/>
                <w:szCs w:val="12"/>
              </w:rPr>
              <w:t>Furniture $ - Cost</w:t>
            </w:r>
          </w:p>
        </w:tc>
        <w:tc>
          <w:tcPr>
            <w:tcW w:w="261" w:type="pct"/>
            <w:tcBorders>
              <w:top w:val="single" w:sz="4" w:space="0" w:color="auto"/>
              <w:left w:val="nil"/>
              <w:bottom w:val="single" w:sz="4" w:space="0" w:color="auto"/>
              <w:right w:val="single" w:sz="4" w:space="0" w:color="auto"/>
            </w:tcBorders>
            <w:shd w:val="clear" w:color="auto" w:fill="5B9BD5" w:themeFill="accent1"/>
          </w:tcPr>
          <w:p w:rsidR="00C57952" w:rsidRPr="009D5F55" w:rsidRDefault="00C57952" w:rsidP="00C57952">
            <w:pPr>
              <w:pStyle w:val="TableText"/>
              <w:rPr>
                <w:rFonts w:asciiTheme="minorHAnsi" w:hAnsiTheme="minorHAnsi"/>
                <w:b/>
                <w:color w:val="FFFFFF" w:themeColor="background1"/>
                <w:sz w:val="12"/>
                <w:szCs w:val="12"/>
              </w:rPr>
            </w:pPr>
          </w:p>
        </w:tc>
        <w:tc>
          <w:tcPr>
            <w:tcW w:w="261" w:type="pct"/>
            <w:tcBorders>
              <w:top w:val="single" w:sz="4" w:space="0" w:color="auto"/>
              <w:left w:val="single" w:sz="4" w:space="0" w:color="auto"/>
              <w:bottom w:val="single" w:sz="4" w:space="0" w:color="auto"/>
              <w:right w:val="nil"/>
            </w:tcBorders>
            <w:shd w:val="clear" w:color="auto" w:fill="5B9BD5" w:themeFill="accent1"/>
          </w:tcPr>
          <w:p w:rsidR="00C57952" w:rsidRPr="009D5F55" w:rsidRDefault="00C57952" w:rsidP="00C57952">
            <w:pPr>
              <w:pStyle w:val="TableText"/>
              <w:rPr>
                <w:rFonts w:asciiTheme="minorHAnsi" w:hAnsiTheme="minorHAnsi"/>
                <w:b/>
                <w:color w:val="FFFFFF" w:themeColor="background1"/>
                <w:sz w:val="12"/>
                <w:szCs w:val="12"/>
              </w:rPr>
            </w:pPr>
            <w:r w:rsidRPr="009D5F55">
              <w:rPr>
                <w:rFonts w:asciiTheme="minorHAnsi" w:hAnsiTheme="minorHAnsi"/>
                <w:b/>
                <w:color w:val="FFFFFF" w:themeColor="background1"/>
                <w:sz w:val="12"/>
                <w:szCs w:val="12"/>
              </w:rPr>
              <w:t>Insurance $ - Cost</w:t>
            </w:r>
          </w:p>
        </w:tc>
        <w:tc>
          <w:tcPr>
            <w:tcW w:w="261" w:type="pct"/>
            <w:tcBorders>
              <w:top w:val="single" w:sz="4" w:space="0" w:color="auto"/>
              <w:left w:val="nil"/>
              <w:bottom w:val="single" w:sz="4" w:space="0" w:color="auto"/>
              <w:right w:val="single" w:sz="4" w:space="0" w:color="auto"/>
            </w:tcBorders>
            <w:shd w:val="clear" w:color="auto" w:fill="5B9BD5" w:themeFill="accent1"/>
          </w:tcPr>
          <w:p w:rsidR="00C57952" w:rsidRPr="009D5F55" w:rsidRDefault="00C57952" w:rsidP="00C57952">
            <w:pPr>
              <w:pStyle w:val="TableText"/>
              <w:rPr>
                <w:rFonts w:asciiTheme="minorHAnsi" w:hAnsiTheme="minorHAnsi"/>
                <w:b/>
                <w:color w:val="FFFFFF" w:themeColor="background1"/>
                <w:sz w:val="12"/>
                <w:szCs w:val="12"/>
              </w:rPr>
            </w:pPr>
          </w:p>
        </w:tc>
        <w:tc>
          <w:tcPr>
            <w:tcW w:w="261" w:type="pct"/>
            <w:tcBorders>
              <w:top w:val="single" w:sz="4" w:space="0" w:color="auto"/>
              <w:left w:val="single" w:sz="4" w:space="0" w:color="auto"/>
              <w:bottom w:val="single" w:sz="4" w:space="0" w:color="auto"/>
              <w:right w:val="nil"/>
            </w:tcBorders>
            <w:shd w:val="clear" w:color="auto" w:fill="5B9BD5" w:themeFill="accent1"/>
          </w:tcPr>
          <w:p w:rsidR="00C57952" w:rsidRPr="009D5F55" w:rsidRDefault="00C57952" w:rsidP="00C57952">
            <w:pPr>
              <w:pStyle w:val="TableText"/>
              <w:rPr>
                <w:rFonts w:asciiTheme="minorHAnsi" w:hAnsiTheme="minorHAnsi"/>
                <w:b/>
                <w:color w:val="FFFFFF" w:themeColor="background1"/>
                <w:sz w:val="12"/>
                <w:szCs w:val="12"/>
              </w:rPr>
            </w:pPr>
            <w:r w:rsidRPr="009D5F55">
              <w:rPr>
                <w:rFonts w:asciiTheme="minorHAnsi" w:hAnsiTheme="minorHAnsi"/>
                <w:b/>
                <w:color w:val="FFFFFF" w:themeColor="background1"/>
                <w:sz w:val="12"/>
                <w:szCs w:val="12"/>
              </w:rPr>
              <w:t>Electronic equipment</w:t>
            </w:r>
          </w:p>
        </w:tc>
        <w:tc>
          <w:tcPr>
            <w:tcW w:w="261" w:type="pct"/>
            <w:tcBorders>
              <w:top w:val="single" w:sz="4" w:space="0" w:color="auto"/>
              <w:left w:val="nil"/>
              <w:bottom w:val="single" w:sz="4" w:space="0" w:color="auto"/>
              <w:right w:val="single" w:sz="4" w:space="0" w:color="auto"/>
            </w:tcBorders>
            <w:shd w:val="clear" w:color="auto" w:fill="5B9BD5" w:themeFill="accent1"/>
          </w:tcPr>
          <w:p w:rsidR="00C57952" w:rsidRPr="009D5F55" w:rsidRDefault="00C57952" w:rsidP="00C57952">
            <w:pPr>
              <w:pStyle w:val="TableText"/>
              <w:rPr>
                <w:rFonts w:asciiTheme="minorHAnsi" w:hAnsiTheme="minorHAnsi"/>
                <w:b/>
                <w:color w:val="FFFFFF" w:themeColor="background1"/>
                <w:sz w:val="12"/>
                <w:szCs w:val="12"/>
              </w:rPr>
            </w:pPr>
          </w:p>
        </w:tc>
        <w:tc>
          <w:tcPr>
            <w:tcW w:w="261" w:type="pct"/>
            <w:tcBorders>
              <w:top w:val="single" w:sz="4" w:space="0" w:color="auto"/>
              <w:left w:val="single" w:sz="4" w:space="0" w:color="auto"/>
              <w:bottom w:val="single" w:sz="4" w:space="0" w:color="auto"/>
              <w:right w:val="nil"/>
            </w:tcBorders>
            <w:shd w:val="clear" w:color="auto" w:fill="5B9BD5" w:themeFill="accent1"/>
          </w:tcPr>
          <w:p w:rsidR="00C57952" w:rsidRPr="009D5F55" w:rsidRDefault="00C57952" w:rsidP="00C57952">
            <w:pPr>
              <w:pStyle w:val="TableText"/>
              <w:rPr>
                <w:rFonts w:asciiTheme="minorHAnsi" w:hAnsiTheme="minorHAnsi"/>
                <w:b/>
                <w:color w:val="FFFFFF" w:themeColor="background1"/>
                <w:sz w:val="12"/>
                <w:szCs w:val="12"/>
              </w:rPr>
            </w:pPr>
            <w:r w:rsidRPr="009D5F55">
              <w:rPr>
                <w:rFonts w:asciiTheme="minorHAnsi" w:hAnsiTheme="minorHAnsi"/>
                <w:b/>
                <w:color w:val="FFFFFF" w:themeColor="background1"/>
                <w:sz w:val="12"/>
                <w:szCs w:val="12"/>
              </w:rPr>
              <w:t>Other - Cost</w:t>
            </w:r>
          </w:p>
        </w:tc>
        <w:tc>
          <w:tcPr>
            <w:tcW w:w="259" w:type="pct"/>
            <w:tcBorders>
              <w:top w:val="single" w:sz="4" w:space="0" w:color="auto"/>
              <w:left w:val="nil"/>
              <w:bottom w:val="single" w:sz="4" w:space="0" w:color="auto"/>
              <w:right w:val="single" w:sz="4" w:space="0" w:color="auto"/>
            </w:tcBorders>
            <w:shd w:val="clear" w:color="auto" w:fill="5B9BD5" w:themeFill="accent1"/>
          </w:tcPr>
          <w:p w:rsidR="00C57952" w:rsidRPr="009D5F55" w:rsidRDefault="00C57952" w:rsidP="00C57952">
            <w:pPr>
              <w:pStyle w:val="TableText"/>
              <w:rPr>
                <w:rFonts w:asciiTheme="minorHAnsi" w:hAnsiTheme="minorHAnsi"/>
                <w:b/>
                <w:color w:val="FFFFFF" w:themeColor="background1"/>
                <w:sz w:val="12"/>
                <w:szCs w:val="12"/>
              </w:rPr>
            </w:pPr>
          </w:p>
        </w:tc>
      </w:tr>
      <w:tr w:rsidR="00C57952" w:rsidRPr="0069502D" w:rsidTr="00DD74D7">
        <w:trPr>
          <w:tblHeader/>
        </w:trPr>
        <w:tc>
          <w:tcPr>
            <w:tcW w:w="304" w:type="pct"/>
            <w:tcBorders>
              <w:top w:val="nil"/>
              <w:left w:val="nil"/>
              <w:bottom w:val="single" w:sz="4" w:space="0" w:color="auto"/>
              <w:right w:val="single" w:sz="4" w:space="0" w:color="auto"/>
            </w:tcBorders>
          </w:tcPr>
          <w:p w:rsidR="00C57952" w:rsidRPr="0069502D" w:rsidRDefault="00C57952" w:rsidP="00C57952">
            <w:pPr>
              <w:pStyle w:val="TableText"/>
              <w:rPr>
                <w:rFonts w:asciiTheme="minorHAnsi" w:hAnsiTheme="minorHAnsi"/>
                <w:sz w:val="12"/>
                <w:szCs w:val="12"/>
              </w:rPr>
            </w:pPr>
          </w:p>
        </w:tc>
        <w:tc>
          <w:tcPr>
            <w:tcW w:w="261" w:type="pct"/>
            <w:tcBorders>
              <w:top w:val="single" w:sz="4" w:space="0" w:color="auto"/>
              <w:left w:val="single" w:sz="4" w:space="0" w:color="auto"/>
            </w:tcBorders>
            <w:shd w:val="clear" w:color="auto" w:fill="BDD6EE" w:themeFill="accent1" w:themeFillTint="66"/>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Relocated</w:t>
            </w:r>
          </w:p>
        </w:tc>
        <w:tc>
          <w:tcPr>
            <w:tcW w:w="261" w:type="pct"/>
            <w:tcBorders>
              <w:top w:val="single" w:sz="4" w:space="0" w:color="auto"/>
            </w:tcBorders>
            <w:shd w:val="clear" w:color="auto" w:fill="BDD6EE" w:themeFill="accent1" w:themeFillTint="66"/>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Non-relocated</w:t>
            </w:r>
          </w:p>
        </w:tc>
        <w:tc>
          <w:tcPr>
            <w:tcW w:w="261" w:type="pct"/>
            <w:tcBorders>
              <w:top w:val="single" w:sz="4" w:space="0" w:color="auto"/>
            </w:tcBorders>
            <w:shd w:val="clear" w:color="auto" w:fill="BDD6EE" w:themeFill="accent1" w:themeFillTint="66"/>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Relocated</w:t>
            </w:r>
          </w:p>
        </w:tc>
        <w:tc>
          <w:tcPr>
            <w:tcW w:w="261" w:type="pct"/>
            <w:tcBorders>
              <w:top w:val="single" w:sz="4" w:space="0" w:color="auto"/>
            </w:tcBorders>
            <w:shd w:val="clear" w:color="auto" w:fill="BDD6EE" w:themeFill="accent1" w:themeFillTint="66"/>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Non-relocated</w:t>
            </w:r>
          </w:p>
        </w:tc>
        <w:tc>
          <w:tcPr>
            <w:tcW w:w="261" w:type="pct"/>
            <w:tcBorders>
              <w:top w:val="single" w:sz="4" w:space="0" w:color="auto"/>
            </w:tcBorders>
            <w:shd w:val="clear" w:color="auto" w:fill="BDD6EE" w:themeFill="accent1" w:themeFillTint="66"/>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Relocated</w:t>
            </w:r>
          </w:p>
        </w:tc>
        <w:tc>
          <w:tcPr>
            <w:tcW w:w="261" w:type="pct"/>
            <w:tcBorders>
              <w:top w:val="single" w:sz="4" w:space="0" w:color="auto"/>
            </w:tcBorders>
            <w:shd w:val="clear" w:color="auto" w:fill="BDD6EE" w:themeFill="accent1" w:themeFillTint="66"/>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Non-relocated</w:t>
            </w:r>
          </w:p>
        </w:tc>
        <w:tc>
          <w:tcPr>
            <w:tcW w:w="261" w:type="pct"/>
            <w:tcBorders>
              <w:top w:val="single" w:sz="4" w:space="0" w:color="auto"/>
            </w:tcBorders>
            <w:shd w:val="clear" w:color="auto" w:fill="BDD6EE" w:themeFill="accent1" w:themeFillTint="66"/>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Relocated</w:t>
            </w:r>
          </w:p>
        </w:tc>
        <w:tc>
          <w:tcPr>
            <w:tcW w:w="261" w:type="pct"/>
            <w:tcBorders>
              <w:top w:val="single" w:sz="4" w:space="0" w:color="auto"/>
            </w:tcBorders>
            <w:shd w:val="clear" w:color="auto" w:fill="BDD6EE" w:themeFill="accent1" w:themeFillTint="66"/>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Non-relocated</w:t>
            </w:r>
          </w:p>
        </w:tc>
        <w:tc>
          <w:tcPr>
            <w:tcW w:w="261" w:type="pct"/>
            <w:tcBorders>
              <w:top w:val="single" w:sz="4" w:space="0" w:color="auto"/>
            </w:tcBorders>
            <w:shd w:val="clear" w:color="auto" w:fill="BDD6EE" w:themeFill="accent1" w:themeFillTint="66"/>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Relocated</w:t>
            </w:r>
          </w:p>
        </w:tc>
        <w:tc>
          <w:tcPr>
            <w:tcW w:w="261" w:type="pct"/>
            <w:tcBorders>
              <w:top w:val="single" w:sz="4" w:space="0" w:color="auto"/>
            </w:tcBorders>
            <w:shd w:val="clear" w:color="auto" w:fill="BDD6EE" w:themeFill="accent1" w:themeFillTint="66"/>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Non-relocated</w:t>
            </w:r>
          </w:p>
        </w:tc>
        <w:tc>
          <w:tcPr>
            <w:tcW w:w="261" w:type="pct"/>
            <w:tcBorders>
              <w:top w:val="single" w:sz="4" w:space="0" w:color="auto"/>
            </w:tcBorders>
            <w:shd w:val="clear" w:color="auto" w:fill="BDD6EE" w:themeFill="accent1" w:themeFillTint="66"/>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Relocated</w:t>
            </w:r>
          </w:p>
        </w:tc>
        <w:tc>
          <w:tcPr>
            <w:tcW w:w="261" w:type="pct"/>
            <w:tcBorders>
              <w:top w:val="single" w:sz="4" w:space="0" w:color="auto"/>
            </w:tcBorders>
            <w:shd w:val="clear" w:color="auto" w:fill="BDD6EE" w:themeFill="accent1" w:themeFillTint="66"/>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Non-relocated</w:t>
            </w:r>
          </w:p>
        </w:tc>
        <w:tc>
          <w:tcPr>
            <w:tcW w:w="261" w:type="pct"/>
            <w:tcBorders>
              <w:top w:val="single" w:sz="4" w:space="0" w:color="auto"/>
            </w:tcBorders>
            <w:shd w:val="clear" w:color="auto" w:fill="BDD6EE" w:themeFill="accent1" w:themeFillTint="66"/>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Relocated</w:t>
            </w:r>
          </w:p>
        </w:tc>
        <w:tc>
          <w:tcPr>
            <w:tcW w:w="261" w:type="pct"/>
            <w:tcBorders>
              <w:top w:val="single" w:sz="4" w:space="0" w:color="auto"/>
            </w:tcBorders>
            <w:shd w:val="clear" w:color="auto" w:fill="BDD6EE" w:themeFill="accent1" w:themeFillTint="66"/>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Non-relocated</w:t>
            </w:r>
          </w:p>
        </w:tc>
        <w:tc>
          <w:tcPr>
            <w:tcW w:w="261" w:type="pct"/>
            <w:tcBorders>
              <w:top w:val="single" w:sz="4" w:space="0" w:color="auto"/>
            </w:tcBorders>
            <w:shd w:val="clear" w:color="auto" w:fill="BDD6EE" w:themeFill="accent1" w:themeFillTint="66"/>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Relocated</w:t>
            </w:r>
          </w:p>
        </w:tc>
        <w:tc>
          <w:tcPr>
            <w:tcW w:w="261" w:type="pct"/>
            <w:tcBorders>
              <w:top w:val="single" w:sz="4" w:space="0" w:color="auto"/>
            </w:tcBorders>
            <w:shd w:val="clear" w:color="auto" w:fill="BDD6EE" w:themeFill="accent1" w:themeFillTint="66"/>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Non-relocated</w:t>
            </w:r>
          </w:p>
        </w:tc>
        <w:tc>
          <w:tcPr>
            <w:tcW w:w="261" w:type="pct"/>
            <w:tcBorders>
              <w:top w:val="single" w:sz="4" w:space="0" w:color="auto"/>
            </w:tcBorders>
            <w:shd w:val="clear" w:color="auto" w:fill="BDD6EE" w:themeFill="accent1" w:themeFillTint="66"/>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Relocated</w:t>
            </w:r>
          </w:p>
        </w:tc>
        <w:tc>
          <w:tcPr>
            <w:tcW w:w="259" w:type="pct"/>
            <w:tcBorders>
              <w:top w:val="single" w:sz="4" w:space="0" w:color="auto"/>
            </w:tcBorders>
            <w:shd w:val="clear" w:color="auto" w:fill="BDD6EE" w:themeFill="accent1" w:themeFillTint="66"/>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Non-relocated</w:t>
            </w:r>
          </w:p>
        </w:tc>
      </w:tr>
      <w:tr w:rsidR="00C57952" w:rsidRPr="0069502D" w:rsidTr="00C57952">
        <w:tc>
          <w:tcPr>
            <w:tcW w:w="304" w:type="pct"/>
            <w:tcBorders>
              <w:top w:val="single" w:sz="4" w:space="0" w:color="auto"/>
            </w:tcBorders>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$0-$124</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1.3</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20.8</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5.3</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30.4</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8.7</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18.2</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6.1</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18.2</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4.8</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4.3</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4.7</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9.5</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4.1</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4.2</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1.2</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13.3</w:t>
            </w:r>
          </w:p>
        </w:tc>
        <w:tc>
          <w:tcPr>
            <w:tcW w:w="259"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3.8</w:t>
            </w:r>
          </w:p>
        </w:tc>
      </w:tr>
      <w:tr w:rsidR="00C57952" w:rsidRPr="0069502D" w:rsidTr="00C57952">
        <w:tc>
          <w:tcPr>
            <w:tcW w:w="304" w:type="pct"/>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$125-$250</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29.2</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9.9</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26.1</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6.0</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9.1</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2.0</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9.1</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4.1</w:t>
            </w:r>
          </w:p>
        </w:tc>
        <w:tc>
          <w:tcPr>
            <w:tcW w:w="261" w:type="pct"/>
          </w:tcPr>
          <w:p w:rsidR="00C57952" w:rsidRPr="0069502D" w:rsidRDefault="00C57952" w:rsidP="00C57952">
            <w:pPr>
              <w:pStyle w:val="TableText"/>
              <w:rPr>
                <w:rFonts w:asciiTheme="minorHAnsi" w:hAnsiTheme="minorHAnsi"/>
                <w:sz w:val="12"/>
                <w:szCs w:val="12"/>
              </w:rPr>
            </w:pP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2.0</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14.3</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6.8</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4.2</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2.4</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6.7</w:t>
            </w:r>
          </w:p>
        </w:tc>
        <w:tc>
          <w:tcPr>
            <w:tcW w:w="259"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3.8</w:t>
            </w:r>
          </w:p>
        </w:tc>
      </w:tr>
      <w:tr w:rsidR="00C57952" w:rsidRPr="0069502D" w:rsidTr="00C57952">
        <w:tc>
          <w:tcPr>
            <w:tcW w:w="304" w:type="pct"/>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$251-$500</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13.6</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.7</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29.2</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3.3</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4.3</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2.7</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13.6</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4.8</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13.6</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3.4</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4.3</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6.7</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19.0</w:t>
            </w:r>
          </w:p>
        </w:tc>
        <w:tc>
          <w:tcPr>
            <w:tcW w:w="261" w:type="pct"/>
          </w:tcPr>
          <w:p w:rsidR="00C57952" w:rsidRPr="0069502D" w:rsidRDefault="00C57952" w:rsidP="00C57952">
            <w:pPr>
              <w:pStyle w:val="TableText"/>
              <w:rPr>
                <w:rFonts w:asciiTheme="minorHAnsi" w:hAnsiTheme="minorHAnsi"/>
                <w:sz w:val="12"/>
                <w:szCs w:val="12"/>
              </w:rPr>
            </w:pP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20.8</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6.1</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6.7</w:t>
            </w:r>
          </w:p>
        </w:tc>
        <w:tc>
          <w:tcPr>
            <w:tcW w:w="259"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3.8</w:t>
            </w:r>
          </w:p>
        </w:tc>
      </w:tr>
      <w:tr w:rsidR="00C57952" w:rsidRPr="0069502D" w:rsidTr="00C57952">
        <w:tc>
          <w:tcPr>
            <w:tcW w:w="304" w:type="pct"/>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$501-$750</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9.1</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2.6</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.7</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8.7</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13.6</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.7</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13.6</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.7</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13.0</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1.3</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14.3</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1.4</w:t>
            </w:r>
          </w:p>
        </w:tc>
        <w:tc>
          <w:tcPr>
            <w:tcW w:w="261" w:type="pct"/>
          </w:tcPr>
          <w:p w:rsidR="00C57952" w:rsidRPr="0069502D" w:rsidRDefault="00C57952" w:rsidP="00C57952">
            <w:pPr>
              <w:pStyle w:val="TableText"/>
              <w:rPr>
                <w:rFonts w:asciiTheme="minorHAnsi" w:hAnsiTheme="minorHAnsi"/>
                <w:sz w:val="12"/>
                <w:szCs w:val="12"/>
              </w:rPr>
            </w:pP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5.5</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59"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3.8</w:t>
            </w:r>
          </w:p>
        </w:tc>
      </w:tr>
      <w:tr w:rsidR="00C57952" w:rsidRPr="0069502D" w:rsidTr="00C57952">
        <w:tc>
          <w:tcPr>
            <w:tcW w:w="304" w:type="pct"/>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$751-$1000</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9.1</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1.3</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8.7</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2.7</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4.8</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.7</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8.3</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11.0</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59"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.8</w:t>
            </w:r>
          </w:p>
        </w:tc>
      </w:tr>
      <w:tr w:rsidR="00C57952" w:rsidRPr="0069502D" w:rsidTr="00C57952">
        <w:tc>
          <w:tcPr>
            <w:tcW w:w="304" w:type="pct"/>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$1001-$1250</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22.7</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4.5</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4.5</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.7</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13.0</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2.0</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1.4</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8.3</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7.3</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59"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.8</w:t>
            </w:r>
          </w:p>
        </w:tc>
      </w:tr>
      <w:tr w:rsidR="00C57952" w:rsidRPr="0069502D" w:rsidTr="00C57952">
        <w:tc>
          <w:tcPr>
            <w:tcW w:w="304" w:type="pct"/>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$1251-$1500</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2.0</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4.3</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2.7</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7.9</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59"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r>
      <w:tr w:rsidR="00C57952" w:rsidRPr="0069502D" w:rsidTr="00C57952">
        <w:tc>
          <w:tcPr>
            <w:tcW w:w="304" w:type="pct"/>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$1501-$1750</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9.1</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.7</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4.3</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.7</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12.5</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2.4</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6.7</w:t>
            </w:r>
          </w:p>
        </w:tc>
        <w:tc>
          <w:tcPr>
            <w:tcW w:w="259"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r>
      <w:tr w:rsidR="00C57952" w:rsidRPr="0069502D" w:rsidTr="00C57952">
        <w:tc>
          <w:tcPr>
            <w:tcW w:w="304" w:type="pct"/>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$1751-$2000</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9.1</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4.3</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.7</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12.5</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3.0</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59"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r>
      <w:tr w:rsidR="00C57952" w:rsidRPr="0069502D" w:rsidTr="00C57952">
        <w:tc>
          <w:tcPr>
            <w:tcW w:w="304" w:type="pct"/>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$2,000</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4.5</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13.0</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.7</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.7</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5.5</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N/A</w:t>
            </w:r>
          </w:p>
        </w:tc>
        <w:tc>
          <w:tcPr>
            <w:tcW w:w="259"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1.5</w:t>
            </w:r>
          </w:p>
        </w:tc>
      </w:tr>
      <w:tr w:rsidR="00C57952" w:rsidRPr="0069502D" w:rsidTr="00C57952">
        <w:tc>
          <w:tcPr>
            <w:tcW w:w="304" w:type="pct"/>
          </w:tcPr>
          <w:p w:rsidR="00C57952" w:rsidRPr="009D5F55" w:rsidRDefault="00C57952" w:rsidP="00C57952">
            <w:pPr>
              <w:pStyle w:val="TableText"/>
              <w:rPr>
                <w:rFonts w:asciiTheme="minorHAnsi" w:hAnsiTheme="minorHAnsi"/>
                <w:b/>
                <w:sz w:val="12"/>
                <w:szCs w:val="12"/>
              </w:rPr>
            </w:pPr>
            <w:r w:rsidRPr="009D5F55">
              <w:rPr>
                <w:rFonts w:asciiTheme="minorHAnsi" w:hAnsiTheme="minorHAnsi"/>
                <w:b/>
                <w:sz w:val="12"/>
                <w:szCs w:val="12"/>
              </w:rPr>
              <w:t>Not Applicable</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22.7</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91.5</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20.8</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80.9</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26.1</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82.7</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30.4</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86.4</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40.9</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86.4</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30.4</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75.8</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38.1</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84.9</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29.2</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47.6</w:t>
            </w:r>
          </w:p>
        </w:tc>
        <w:tc>
          <w:tcPr>
            <w:tcW w:w="261"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66.7</w:t>
            </w:r>
          </w:p>
        </w:tc>
        <w:tc>
          <w:tcPr>
            <w:tcW w:w="259" w:type="pct"/>
          </w:tcPr>
          <w:p w:rsidR="00C57952" w:rsidRPr="0069502D" w:rsidRDefault="00C57952" w:rsidP="00C57952">
            <w:pPr>
              <w:pStyle w:val="TableText"/>
              <w:rPr>
                <w:rFonts w:asciiTheme="minorHAnsi" w:hAnsiTheme="minorHAnsi"/>
                <w:sz w:val="12"/>
                <w:szCs w:val="12"/>
              </w:rPr>
            </w:pPr>
            <w:r w:rsidRPr="0069502D">
              <w:rPr>
                <w:rFonts w:asciiTheme="minorHAnsi" w:hAnsiTheme="minorHAnsi"/>
                <w:sz w:val="12"/>
                <w:szCs w:val="12"/>
              </w:rPr>
              <w:t>81.7</w:t>
            </w:r>
          </w:p>
        </w:tc>
      </w:tr>
    </w:tbl>
    <w:p w:rsidR="00C57952" w:rsidRDefault="00C57952" w:rsidP="00C57952">
      <w:pPr>
        <w:pStyle w:val="TableTitles"/>
      </w:pPr>
      <w:r>
        <w:t xml:space="preserve"> </w:t>
      </w:r>
      <w:bookmarkStart w:id="51" w:name="_Toc517270504"/>
      <w:r>
        <w:t xml:space="preserve">Table </w:t>
      </w:r>
      <w:fldSimple w:instr=" SEQ Table \* ARABIC ">
        <w:r w:rsidR="00766065">
          <w:rPr>
            <w:noProof/>
          </w:rPr>
          <w:t>10</w:t>
        </w:r>
      </w:fldSimple>
      <w:r>
        <w:t xml:space="preserve">: </w:t>
      </w:r>
      <w:r w:rsidRPr="00550EF0">
        <w:t>Set up costs for commencing higher education – percentage of expenditure for students aged 25 years and over</w:t>
      </w:r>
      <w:bookmarkEnd w:id="51"/>
    </w:p>
    <w:p w:rsidR="00C57952" w:rsidRDefault="00C57952" w:rsidP="00C57952">
      <w:pPr>
        <w:tabs>
          <w:tab w:val="left" w:pos="1640"/>
        </w:tabs>
      </w:pPr>
    </w:p>
    <w:p w:rsidR="009D5F55" w:rsidRPr="00C57952" w:rsidRDefault="00C57952" w:rsidP="00C57952">
      <w:pPr>
        <w:tabs>
          <w:tab w:val="left" w:pos="1640"/>
        </w:tabs>
        <w:sectPr w:rsidR="009D5F55" w:rsidRPr="00C57952" w:rsidSect="0069502D">
          <w:footerReference w:type="default" r:id="rId23"/>
          <w:pgSz w:w="16838" w:h="11906" w:orient="landscape"/>
          <w:pgMar w:top="1440" w:right="1440" w:bottom="1440" w:left="1440" w:header="708" w:footer="708" w:gutter="0"/>
          <w:cols w:space="708"/>
          <w:docGrid w:linePitch="360"/>
        </w:sectPr>
      </w:pPr>
      <w:r>
        <w:tab/>
      </w:r>
    </w:p>
    <w:p w:rsidR="00FA6F36" w:rsidRPr="00FA6F36" w:rsidRDefault="00FA6F36" w:rsidP="00FA6F36">
      <w:pPr>
        <w:rPr>
          <w:lang w:val="en-US"/>
        </w:rPr>
      </w:pPr>
      <w:r w:rsidRPr="00FA6F36">
        <w:rPr>
          <w:lang w:val="en-US"/>
        </w:rPr>
        <w:t>Most of the set-up costs for students aged under 25 years who have relocated is on electronic equipment ($500–$1000) as well as rental bond ($250–$750), while the set-up costs for non- relocated students involved electronic equipment ($500–$750), furniture ($0–$250) and bond ($0–$250). For aged 25 and over relocated students, most of the set-up costs involved electronic items ($500–$1000), bond ($500–$1000), and furniture ($500–$1000), which is vastly greater than those that have not relocated.</w:t>
      </w:r>
    </w:p>
    <w:p w:rsidR="00FA6F36" w:rsidRPr="00FA6F36" w:rsidRDefault="00FA6F36" w:rsidP="00FA6F36">
      <w:pPr>
        <w:pStyle w:val="Heading2"/>
        <w:rPr>
          <w:lang w:val="en-US"/>
        </w:rPr>
      </w:pPr>
      <w:bookmarkStart w:id="52" w:name="_Toc517270338"/>
      <w:r>
        <w:rPr>
          <w:lang w:val="en-US"/>
        </w:rPr>
        <w:t>3.7 Transport</w:t>
      </w:r>
      <w:bookmarkEnd w:id="52"/>
    </w:p>
    <w:p w:rsidR="00FA6F36" w:rsidRPr="00FA6F36" w:rsidRDefault="00FA6F36" w:rsidP="00FA6F36">
      <w:pPr>
        <w:rPr>
          <w:lang w:val="en-US"/>
        </w:rPr>
      </w:pPr>
      <w:r w:rsidRPr="00FA6F36">
        <w:rPr>
          <w:lang w:val="en-US"/>
        </w:rPr>
        <w:t>As highlighted in the 2014 Longitudinal Survey of Australian Youth, transport or lack of transport is identified by university students as being a source of financial stress. Owning a vehicle, with associated maintenance, insurance, registration and parking issues, together with the time taken for travel in city locations may mean that students will trade not having a car for the lower cost and duration of time spent commuting on public transport. In a city environment both the use of a car and public transport travel options involve an opportunity cost with less time available for paid employment. In many regional locations public transport options are few if any (as reflected in the results of Figure 13 and Figure 14 for non- relocated students) and reliance on a car involves little traffic or parking expenses and limited distances mean less time commuting. Transport costs was identified as one of the three major expenses, along with rent and day-to-day expenses, for students (Halliday-Wynes &amp; Nguyen 2014).</w:t>
      </w:r>
    </w:p>
    <w:p w:rsidR="00FA6F36" w:rsidRPr="00FA6F36" w:rsidRDefault="00FA6F36" w:rsidP="00FA6F36">
      <w:pPr>
        <w:pStyle w:val="Quote"/>
        <w:rPr>
          <w:lang w:val="en-US"/>
        </w:rPr>
      </w:pPr>
      <w:r w:rsidRPr="00FA6F36">
        <w:rPr>
          <w:lang w:val="en-US"/>
        </w:rPr>
        <w:t>I had to get a car because I like to go home because I miss my family. With purchasing a car there’s maintaining a car, petrol ... so that adds pressure.</w:t>
      </w:r>
      <w:r w:rsidRPr="00FA6F36">
        <w:rPr>
          <w:i w:val="0"/>
          <w:lang w:val="en-US"/>
        </w:rPr>
        <w:t xml:space="preserve"> Ruby</w:t>
      </w:r>
    </w:p>
    <w:p w:rsidR="00FA6F36" w:rsidRPr="00FA6F36" w:rsidRDefault="00FA6F36" w:rsidP="00FA6F36">
      <w:pPr>
        <w:rPr>
          <w:lang w:val="en-US"/>
        </w:rPr>
      </w:pPr>
      <w:r w:rsidRPr="00FA6F36">
        <w:rPr>
          <w:lang w:val="en-US"/>
        </w:rPr>
        <w:t>Results from this study indicate that 50% of respondents who have relocated utilised public transport to travel to university, whilst 24% of respondents use their own vehicle. Of those students who have not relocated, 65% travel to the university with their own vehicle and 24% travel via other means.</w:t>
      </w:r>
    </w:p>
    <w:p w:rsidR="00310371" w:rsidRDefault="00310371" w:rsidP="00310371">
      <w:pPr>
        <w:keepNext/>
      </w:pPr>
      <w:r>
        <w:rPr>
          <w:noProof/>
          <w:lang w:eastAsia="en-AU"/>
        </w:rPr>
        <w:drawing>
          <wp:anchor distT="0" distB="0" distL="114300" distR="114300" simplePos="0" relativeHeight="251683840" behindDoc="0" locked="0" layoutInCell="1" allowOverlap="1">
            <wp:simplePos x="0" y="0"/>
            <wp:positionH relativeFrom="column">
              <wp:posOffset>0</wp:posOffset>
            </wp:positionH>
            <wp:positionV relativeFrom="paragraph">
              <wp:posOffset>198755</wp:posOffset>
            </wp:positionV>
            <wp:extent cx="5731510" cy="2750185"/>
            <wp:effectExtent l="0" t="0" r="2540" b="0"/>
            <wp:wrapSquare wrapText="bothSides"/>
            <wp:docPr id="21" name="Picture 21" descr="Bar graph displaying the primary method of travel to and from university for students aged under 25 (shown in percentages), split into relocated and non-relocated." title="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2750185"/>
                    </a:xfrm>
                    <a:prstGeom prst="rect">
                      <a:avLst/>
                    </a:prstGeom>
                  </pic:spPr>
                </pic:pic>
              </a:graphicData>
            </a:graphic>
            <wp14:sizeRelH relativeFrom="page">
              <wp14:pctWidth>0</wp14:pctWidth>
            </wp14:sizeRelH>
            <wp14:sizeRelV relativeFrom="page">
              <wp14:pctHeight>0</wp14:pctHeight>
            </wp14:sizeRelV>
          </wp:anchor>
        </w:drawing>
      </w:r>
    </w:p>
    <w:p w:rsidR="00B43F79" w:rsidRDefault="00310371" w:rsidP="00310371">
      <w:pPr>
        <w:pStyle w:val="FigureTitles"/>
      </w:pPr>
      <w:r>
        <w:br/>
      </w:r>
      <w:bookmarkStart w:id="53" w:name="_Toc517270587"/>
      <w:r>
        <w:t xml:space="preserve">Figure </w:t>
      </w:r>
      <w:fldSimple w:instr=" SEQ Figure \* ARABIC ">
        <w:r w:rsidR="00B00AA1">
          <w:rPr>
            <w:noProof/>
          </w:rPr>
          <w:t>13</w:t>
        </w:r>
      </w:fldSimple>
      <w:r>
        <w:t xml:space="preserve">: </w:t>
      </w:r>
      <w:r w:rsidRPr="006A249F">
        <w:t>Primary method of travel to and from university for students aged under 25</w:t>
      </w:r>
      <w:bookmarkEnd w:id="53"/>
    </w:p>
    <w:p w:rsidR="00310371" w:rsidRDefault="00310371" w:rsidP="00310371">
      <w:pPr>
        <w:pStyle w:val="FigureTitles"/>
      </w:pPr>
      <w:bookmarkStart w:id="54" w:name="_Toc517270588"/>
      <w:r>
        <w:rPr>
          <w:noProof/>
          <w:lang w:eastAsia="en-AU"/>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5731510" cy="2579370"/>
            <wp:effectExtent l="0" t="0" r="2540" b="0"/>
            <wp:wrapSquare wrapText="bothSides"/>
            <wp:docPr id="23" name="Picture 23" descr="Bar graph displaying the primary method of travel to and from university for students aged 25 and over (shown in percentages), split into relocated and non-relocated." title="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2579370"/>
                    </a:xfrm>
                    <a:prstGeom prst="rect">
                      <a:avLst/>
                    </a:prstGeom>
                  </pic:spPr>
                </pic:pic>
              </a:graphicData>
            </a:graphic>
            <wp14:sizeRelH relativeFrom="page">
              <wp14:pctWidth>0</wp14:pctWidth>
            </wp14:sizeRelH>
            <wp14:sizeRelV relativeFrom="page">
              <wp14:pctHeight>0</wp14:pctHeight>
            </wp14:sizeRelV>
          </wp:anchor>
        </w:drawing>
      </w:r>
      <w:r>
        <w:br/>
        <w:t xml:space="preserve">Figure </w:t>
      </w:r>
      <w:fldSimple w:instr=" SEQ Figure \* ARABIC ">
        <w:r w:rsidR="00B00AA1">
          <w:rPr>
            <w:noProof/>
          </w:rPr>
          <w:t>14</w:t>
        </w:r>
      </w:fldSimple>
      <w:r>
        <w:t xml:space="preserve">: </w:t>
      </w:r>
      <w:r w:rsidRPr="00663827">
        <w:t>Primary method of travel to and from university for students aged 25 and over</w:t>
      </w:r>
      <w:bookmarkEnd w:id="54"/>
    </w:p>
    <w:p w:rsidR="00310371" w:rsidRPr="00310371" w:rsidRDefault="00310371" w:rsidP="00310371">
      <w:pPr>
        <w:rPr>
          <w:lang w:val="en-US"/>
        </w:rPr>
      </w:pPr>
      <w:r>
        <w:rPr>
          <w:lang w:val="en-US"/>
        </w:rPr>
        <w:br/>
      </w:r>
      <w:r w:rsidRPr="00310371">
        <w:rPr>
          <w:lang w:val="en-US"/>
        </w:rPr>
        <w:t>Similarly, for those respondents aged 25 years and over who have not relocated, 55% utilise their own vehicle to travel to the university while 38.5% travel by other means. Students who have relocated use both public transport (42%) and their own vehicle (42%) as the main method of travel to the university.</w:t>
      </w:r>
    </w:p>
    <w:p w:rsidR="00310371" w:rsidRPr="00310371" w:rsidRDefault="00E368DC" w:rsidP="00310371">
      <w:pPr>
        <w:rPr>
          <w:lang w:val="en-US"/>
        </w:rPr>
      </w:pPr>
      <w:r>
        <w:rPr>
          <w:noProof/>
          <w:lang w:eastAsia="en-AU"/>
        </w:rPr>
        <w:drawing>
          <wp:anchor distT="0" distB="0" distL="114300" distR="114300" simplePos="0" relativeHeight="251685888" behindDoc="0" locked="0" layoutInCell="1" allowOverlap="1">
            <wp:simplePos x="0" y="0"/>
            <wp:positionH relativeFrom="column">
              <wp:posOffset>307975</wp:posOffset>
            </wp:positionH>
            <wp:positionV relativeFrom="paragraph">
              <wp:posOffset>1038698</wp:posOffset>
            </wp:positionV>
            <wp:extent cx="5167836" cy="3391786"/>
            <wp:effectExtent l="0" t="0" r="0" b="0"/>
            <wp:wrapSquare wrapText="bothSides"/>
            <wp:docPr id="24" name="Picture 24" descr="Bar graph displaying the number of return visits rural students make to their rural homes per annum (shown in percentages), split into under 25, and 25 and over." title="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jpg"/>
                    <pic:cNvPicPr/>
                  </pic:nvPicPr>
                  <pic:blipFill>
                    <a:blip r:embed="rId26">
                      <a:extLst>
                        <a:ext uri="{28A0092B-C50C-407E-A947-70E740481C1C}">
                          <a14:useLocalDpi xmlns:a14="http://schemas.microsoft.com/office/drawing/2010/main" val="0"/>
                        </a:ext>
                      </a:extLst>
                    </a:blip>
                    <a:stretch>
                      <a:fillRect/>
                    </a:stretch>
                  </pic:blipFill>
                  <pic:spPr>
                    <a:xfrm>
                      <a:off x="0" y="0"/>
                      <a:ext cx="5167836" cy="3391786"/>
                    </a:xfrm>
                    <a:prstGeom prst="rect">
                      <a:avLst/>
                    </a:prstGeom>
                  </pic:spPr>
                </pic:pic>
              </a:graphicData>
            </a:graphic>
            <wp14:sizeRelH relativeFrom="page">
              <wp14:pctWidth>0</wp14:pctWidth>
            </wp14:sizeRelH>
            <wp14:sizeRelV relativeFrom="page">
              <wp14:pctHeight>0</wp14:pctHeight>
            </wp14:sizeRelV>
          </wp:anchor>
        </w:drawing>
      </w:r>
      <w:r w:rsidR="00310371" w:rsidRPr="00310371">
        <w:rPr>
          <w:lang w:val="en-US"/>
        </w:rPr>
        <w:t>In addition to the associated cost of travelling to and from university, students aged under 25 also indicated that associated costs of travelling to visit their regional homes was important, with 45% of regional students returning home more than six times per year. However, 37.5% of students aged 25 and over only visit home one or two times a year or not at all.</w:t>
      </w:r>
    </w:p>
    <w:p w:rsidR="00310371" w:rsidRDefault="00E368DC" w:rsidP="00E368DC">
      <w:pPr>
        <w:pStyle w:val="FigureTitles"/>
      </w:pPr>
      <w:r>
        <w:br/>
      </w:r>
      <w:bookmarkStart w:id="55" w:name="_Toc517270589"/>
      <w:r>
        <w:t xml:space="preserve">Figure </w:t>
      </w:r>
      <w:fldSimple w:instr=" SEQ Figure \* ARABIC ">
        <w:r w:rsidR="00B00AA1">
          <w:rPr>
            <w:noProof/>
          </w:rPr>
          <w:t>15</w:t>
        </w:r>
      </w:fldSimple>
      <w:r>
        <w:t xml:space="preserve">: </w:t>
      </w:r>
      <w:r w:rsidRPr="00ED4582">
        <w:t>Number of return visits rural students make to their rural homes per annum</w:t>
      </w:r>
      <w:bookmarkEnd w:id="55"/>
    </w:p>
    <w:p w:rsidR="000461CB" w:rsidRDefault="000461CB" w:rsidP="000461CB">
      <w:r>
        <w:rPr>
          <w:noProof/>
          <w:lang w:eastAsia="en-AU"/>
        </w:rPr>
        <w:drawing>
          <wp:anchor distT="0" distB="0" distL="114300" distR="114300" simplePos="0" relativeHeight="251686912" behindDoc="0" locked="0" layoutInCell="1" allowOverlap="1">
            <wp:simplePos x="0" y="0"/>
            <wp:positionH relativeFrom="column">
              <wp:posOffset>0</wp:posOffset>
            </wp:positionH>
            <wp:positionV relativeFrom="paragraph">
              <wp:posOffset>804707</wp:posOffset>
            </wp:positionV>
            <wp:extent cx="5731510" cy="3763010"/>
            <wp:effectExtent l="0" t="0" r="2540" b="8890"/>
            <wp:wrapSquare wrapText="bothSides"/>
            <wp:docPr id="25" name="Picture 25" descr="Bar graph displaying the barriers that prevent rural student from visiting their rural homes (shown in percentages), split into 25 and over, and under 25." title="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jpg"/>
                    <pic:cNvPicPr/>
                  </pic:nvPicPr>
                  <pic:blipFill>
                    <a:blip r:embed="rId27">
                      <a:extLst>
                        <a:ext uri="{28A0092B-C50C-407E-A947-70E740481C1C}">
                          <a14:useLocalDpi xmlns:a14="http://schemas.microsoft.com/office/drawing/2010/main" val="0"/>
                        </a:ext>
                      </a:extLst>
                    </a:blip>
                    <a:stretch>
                      <a:fillRect/>
                    </a:stretch>
                  </pic:blipFill>
                  <pic:spPr>
                    <a:xfrm>
                      <a:off x="0" y="0"/>
                      <a:ext cx="5731510" cy="3763010"/>
                    </a:xfrm>
                    <a:prstGeom prst="rect">
                      <a:avLst/>
                    </a:prstGeom>
                  </pic:spPr>
                </pic:pic>
              </a:graphicData>
            </a:graphic>
            <wp14:sizeRelH relativeFrom="page">
              <wp14:pctWidth>0</wp14:pctWidth>
            </wp14:sizeRelH>
            <wp14:sizeRelV relativeFrom="page">
              <wp14:pctHeight>0</wp14:pctHeight>
            </wp14:sizeRelV>
          </wp:anchor>
        </w:drawing>
      </w:r>
      <w:r w:rsidRPr="000461CB">
        <w:t>When asked about visiting rural homes, 75% of the students aged 25 and over, and 79% of students aged under 25 indicated that they would like to visit their regional homes more, but financial cost and the requirement to study were identified as two major barriers.</w:t>
      </w:r>
    </w:p>
    <w:p w:rsidR="003D57D5" w:rsidRDefault="000461CB" w:rsidP="00C112A7">
      <w:pPr>
        <w:pStyle w:val="FigureTitles"/>
      </w:pPr>
      <w:r>
        <w:rPr>
          <w:rFonts w:eastAsia="Calibri"/>
          <w:b w:val="0"/>
          <w:sz w:val="24"/>
          <w:szCs w:val="22"/>
        </w:rPr>
        <w:br/>
      </w:r>
      <w:bookmarkStart w:id="56" w:name="_Toc517270590"/>
      <w:r>
        <w:t xml:space="preserve">Figure </w:t>
      </w:r>
      <w:fldSimple w:instr=" SEQ Figure \* ARABIC ">
        <w:r w:rsidR="00B00AA1">
          <w:rPr>
            <w:noProof/>
          </w:rPr>
          <w:t>16</w:t>
        </w:r>
      </w:fldSimple>
      <w:r>
        <w:t xml:space="preserve">: </w:t>
      </w:r>
      <w:r w:rsidRPr="00D66613">
        <w:t>Barriers that prevent rural students from visiting their rural homes</w:t>
      </w:r>
      <w:bookmarkEnd w:id="56"/>
    </w:p>
    <w:p w:rsidR="003D57D5" w:rsidRPr="003D57D5" w:rsidRDefault="00C112A7" w:rsidP="003D57D5">
      <w:pPr>
        <w:ind w:left="720"/>
        <w:rPr>
          <w:b/>
          <w:bCs/>
          <w:lang w:val="en-US"/>
        </w:rPr>
      </w:pPr>
      <w:r>
        <w:rPr>
          <w:b/>
          <w:bCs/>
          <w:lang w:val="en-US"/>
        </w:rPr>
        <w:br/>
      </w:r>
      <w:r w:rsidR="003D57D5" w:rsidRPr="003D57D5">
        <w:rPr>
          <w:b/>
          <w:bCs/>
          <w:lang w:val="en-US"/>
        </w:rPr>
        <w:t>Recommendation 4</w:t>
      </w:r>
      <w:r w:rsidR="003D57D5">
        <w:rPr>
          <w:b/>
          <w:bCs/>
          <w:lang w:val="en-US"/>
        </w:rPr>
        <w:br/>
      </w:r>
      <w:r w:rsidR="003D57D5" w:rsidRPr="003D57D5">
        <w:rPr>
          <w:lang w:val="en-US"/>
        </w:rPr>
        <w:t>In the situations where transport costs represent a significant cost burden on a daily basis - to further explore - what provisions and mechanisms could be identified and easily implemented.</w:t>
      </w:r>
    </w:p>
    <w:p w:rsidR="003D57D5" w:rsidRDefault="003D57D5" w:rsidP="003D57D5">
      <w:pPr>
        <w:pStyle w:val="Heading2"/>
      </w:pPr>
      <w:bookmarkStart w:id="57" w:name="_Toc517270339"/>
      <w:r>
        <w:t>3.8 Financial Stress</w:t>
      </w:r>
      <w:bookmarkEnd w:id="57"/>
    </w:p>
    <w:p w:rsidR="003D57D5" w:rsidRDefault="003D57D5" w:rsidP="003D57D5">
      <w:pPr>
        <w:rPr>
          <w:lang w:val="en-US"/>
        </w:rPr>
      </w:pPr>
      <w:r w:rsidRPr="003D57D5">
        <w:rPr>
          <w:lang w:val="en-US"/>
        </w:rPr>
        <w:t>For the purposes of this study, the definition of financial stress has been adapted from the established scale applied by the Australian Bureau of Statistics (ABS 2002) which assesses household financial stress across 15 indicators. Where just one indicator is reported, financial stress is deemed not to be present, while where two to four indicators are present, moderate financial stress applies, and where five or more indicators are present there is deemed to be a higher exposure to financial stress. The 15 indicators applied within this study were modified to reflect student circumstances, but continue to reflect cash flow problems. Table 11 indicates the category of financial stress for students in each age group and relocation status. Figure 17 details the specific indicators experienced by regional students.</w:t>
      </w:r>
    </w:p>
    <w:p w:rsidR="00766065" w:rsidRDefault="00766065" w:rsidP="003D57D5">
      <w:pPr>
        <w:rPr>
          <w:lang w:val="en-US"/>
        </w:rPr>
      </w:pPr>
    </w:p>
    <w:p w:rsidR="00C112A7" w:rsidRPr="003D57D5" w:rsidRDefault="00C112A7" w:rsidP="003D57D5">
      <w:pPr>
        <w:rPr>
          <w:lang w:val="en-US"/>
        </w:rPr>
      </w:pPr>
    </w:p>
    <w:p w:rsidR="00766065" w:rsidRDefault="00766065" w:rsidP="00766065">
      <w:pPr>
        <w:pStyle w:val="TableTitles"/>
      </w:pPr>
      <w:bookmarkStart w:id="58" w:name="_Toc517270505"/>
      <w:r>
        <w:t xml:space="preserve">Table </w:t>
      </w:r>
      <w:fldSimple w:instr=" SEQ Table \* ARABIC ">
        <w:r>
          <w:rPr>
            <w:noProof/>
          </w:rPr>
          <w:t>11</w:t>
        </w:r>
      </w:fldSimple>
      <w:r>
        <w:t xml:space="preserve">: </w:t>
      </w:r>
      <w:r w:rsidRPr="00BC6B52">
        <w:t>Financial stress by age group and relocation status</w:t>
      </w:r>
      <w:bookmarkEnd w:id="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1E0" w:firstRow="1" w:lastRow="1" w:firstColumn="1" w:lastColumn="1" w:noHBand="0" w:noVBand="0"/>
        <w:tblCaption w:val="Table 11"/>
        <w:tblDescription w:val="Table displaying the financial stress by age group and relocation status, split into: Under 25 relocated; Under 25 non-relocated; 25 and over relocated; 25 and over non-relocated; and Total."/>
      </w:tblPr>
      <w:tblGrid>
        <w:gridCol w:w="1606"/>
        <w:gridCol w:w="1494"/>
        <w:gridCol w:w="1622"/>
        <w:gridCol w:w="1396"/>
        <w:gridCol w:w="1622"/>
        <w:gridCol w:w="1281"/>
      </w:tblGrid>
      <w:tr w:rsidR="00990DA2" w:rsidRPr="00766065" w:rsidTr="00766065">
        <w:trPr>
          <w:tblHeader/>
        </w:trPr>
        <w:tc>
          <w:tcPr>
            <w:tcW w:w="890" w:type="pct"/>
            <w:tcBorders>
              <w:top w:val="nil"/>
              <w:left w:val="nil"/>
              <w:bottom w:val="single" w:sz="4" w:space="0" w:color="auto"/>
              <w:right w:val="single" w:sz="4" w:space="0" w:color="auto"/>
            </w:tcBorders>
            <w:shd w:val="clear" w:color="auto" w:fill="auto"/>
          </w:tcPr>
          <w:p w:rsidR="00766065" w:rsidRPr="00766065" w:rsidRDefault="00766065" w:rsidP="00766065">
            <w:pPr>
              <w:pStyle w:val="TableText"/>
              <w:rPr>
                <w:b/>
                <w:color w:val="FFFFFF" w:themeColor="background1"/>
              </w:rPr>
            </w:pPr>
          </w:p>
        </w:tc>
        <w:tc>
          <w:tcPr>
            <w:tcW w:w="828" w:type="pct"/>
            <w:tcBorders>
              <w:left w:val="single" w:sz="4" w:space="0" w:color="auto"/>
            </w:tcBorders>
            <w:shd w:val="clear" w:color="auto" w:fill="5B9BD5" w:themeFill="accent1"/>
          </w:tcPr>
          <w:p w:rsidR="00766065" w:rsidRPr="00766065" w:rsidRDefault="00766065" w:rsidP="00766065">
            <w:pPr>
              <w:pStyle w:val="TableText"/>
              <w:rPr>
                <w:b/>
                <w:color w:val="FFFFFF" w:themeColor="background1"/>
              </w:rPr>
            </w:pPr>
            <w:r w:rsidRPr="00766065">
              <w:rPr>
                <w:b/>
                <w:color w:val="FFFFFF" w:themeColor="background1"/>
              </w:rPr>
              <w:t>Under 25 relocated %</w:t>
            </w:r>
          </w:p>
          <w:p w:rsidR="00766065" w:rsidRPr="00766065" w:rsidRDefault="00766065" w:rsidP="00766065">
            <w:pPr>
              <w:pStyle w:val="TableText"/>
              <w:rPr>
                <w:b/>
                <w:color w:val="FFFFFF" w:themeColor="background1"/>
              </w:rPr>
            </w:pPr>
            <w:r w:rsidRPr="00766065">
              <w:rPr>
                <w:b/>
                <w:color w:val="FFFFFF" w:themeColor="background1"/>
              </w:rPr>
              <w:t>(n=276)</w:t>
            </w:r>
          </w:p>
        </w:tc>
        <w:tc>
          <w:tcPr>
            <w:tcW w:w="899" w:type="pct"/>
            <w:shd w:val="clear" w:color="auto" w:fill="5B9BD5" w:themeFill="accent1"/>
          </w:tcPr>
          <w:p w:rsidR="00766065" w:rsidRPr="00766065" w:rsidRDefault="00766065" w:rsidP="00766065">
            <w:pPr>
              <w:pStyle w:val="TableText"/>
              <w:rPr>
                <w:b/>
                <w:color w:val="FFFFFF" w:themeColor="background1"/>
              </w:rPr>
            </w:pPr>
            <w:r w:rsidRPr="00766065">
              <w:rPr>
                <w:b/>
                <w:color w:val="FFFFFF" w:themeColor="background1"/>
              </w:rPr>
              <w:t>Under 25 non- relocated %</w:t>
            </w:r>
          </w:p>
          <w:p w:rsidR="00766065" w:rsidRPr="00766065" w:rsidRDefault="00766065" w:rsidP="00766065">
            <w:pPr>
              <w:pStyle w:val="TableText"/>
              <w:rPr>
                <w:b/>
                <w:color w:val="FFFFFF" w:themeColor="background1"/>
              </w:rPr>
            </w:pPr>
            <w:r w:rsidRPr="00766065">
              <w:rPr>
                <w:b/>
                <w:color w:val="FFFFFF" w:themeColor="background1"/>
              </w:rPr>
              <w:t>(n=55)</w:t>
            </w:r>
          </w:p>
        </w:tc>
        <w:tc>
          <w:tcPr>
            <w:tcW w:w="774" w:type="pct"/>
            <w:shd w:val="clear" w:color="auto" w:fill="5B9BD5" w:themeFill="accent1"/>
          </w:tcPr>
          <w:p w:rsidR="00766065" w:rsidRPr="00766065" w:rsidRDefault="00766065" w:rsidP="00766065">
            <w:pPr>
              <w:pStyle w:val="TableText"/>
              <w:rPr>
                <w:b/>
                <w:color w:val="FFFFFF" w:themeColor="background1"/>
              </w:rPr>
            </w:pPr>
            <w:r w:rsidRPr="00766065">
              <w:rPr>
                <w:b/>
                <w:color w:val="FFFFFF" w:themeColor="background1"/>
              </w:rPr>
              <w:t>25 &amp; over relocated %</w:t>
            </w:r>
          </w:p>
          <w:p w:rsidR="00766065" w:rsidRPr="00766065" w:rsidRDefault="00766065" w:rsidP="00766065">
            <w:pPr>
              <w:pStyle w:val="TableText"/>
              <w:rPr>
                <w:b/>
                <w:color w:val="FFFFFF" w:themeColor="background1"/>
              </w:rPr>
            </w:pPr>
            <w:r w:rsidRPr="00766065">
              <w:rPr>
                <w:b/>
                <w:color w:val="FFFFFF" w:themeColor="background1"/>
              </w:rPr>
              <w:t>(n=24)</w:t>
            </w:r>
          </w:p>
        </w:tc>
        <w:tc>
          <w:tcPr>
            <w:tcW w:w="899" w:type="pct"/>
            <w:shd w:val="clear" w:color="auto" w:fill="5B9BD5" w:themeFill="accent1"/>
          </w:tcPr>
          <w:p w:rsidR="00766065" w:rsidRPr="00766065" w:rsidRDefault="00766065" w:rsidP="00766065">
            <w:pPr>
              <w:pStyle w:val="TableText"/>
              <w:rPr>
                <w:b/>
                <w:color w:val="FFFFFF" w:themeColor="background1"/>
              </w:rPr>
            </w:pPr>
            <w:r w:rsidRPr="00766065">
              <w:rPr>
                <w:b/>
                <w:color w:val="FFFFFF" w:themeColor="background1"/>
              </w:rPr>
              <w:t>25 &amp; over</w:t>
            </w:r>
          </w:p>
          <w:p w:rsidR="00766065" w:rsidRPr="00766065" w:rsidRDefault="00766065" w:rsidP="00766065">
            <w:pPr>
              <w:pStyle w:val="TableText"/>
              <w:rPr>
                <w:b/>
                <w:color w:val="FFFFFF" w:themeColor="background1"/>
              </w:rPr>
            </w:pPr>
            <w:r w:rsidRPr="00766065">
              <w:rPr>
                <w:b/>
                <w:color w:val="FFFFFF" w:themeColor="background1"/>
              </w:rPr>
              <w:t>non- relocated</w:t>
            </w:r>
          </w:p>
          <w:p w:rsidR="00766065" w:rsidRPr="00766065" w:rsidRDefault="00766065" w:rsidP="00766065">
            <w:pPr>
              <w:pStyle w:val="TableText"/>
              <w:rPr>
                <w:b/>
                <w:color w:val="FFFFFF" w:themeColor="background1"/>
              </w:rPr>
            </w:pPr>
            <w:r w:rsidRPr="00766065">
              <w:rPr>
                <w:b/>
                <w:color w:val="FFFFFF" w:themeColor="background1"/>
              </w:rPr>
              <w:t>% (n=176)</w:t>
            </w:r>
          </w:p>
        </w:tc>
        <w:tc>
          <w:tcPr>
            <w:tcW w:w="710" w:type="pct"/>
            <w:shd w:val="clear" w:color="auto" w:fill="5B9BD5" w:themeFill="accent1"/>
          </w:tcPr>
          <w:p w:rsidR="00766065" w:rsidRPr="00766065" w:rsidRDefault="00766065" w:rsidP="00766065">
            <w:pPr>
              <w:pStyle w:val="TableText"/>
              <w:rPr>
                <w:b/>
                <w:color w:val="FFFFFF" w:themeColor="background1"/>
              </w:rPr>
            </w:pPr>
            <w:r w:rsidRPr="00766065">
              <w:rPr>
                <w:b/>
                <w:color w:val="FFFFFF" w:themeColor="background1"/>
              </w:rPr>
              <w:t>Total (n=531)</w:t>
            </w:r>
          </w:p>
        </w:tc>
      </w:tr>
      <w:tr w:rsidR="00C112A7" w:rsidRPr="00766065" w:rsidTr="00766065">
        <w:tc>
          <w:tcPr>
            <w:tcW w:w="890" w:type="pct"/>
            <w:tcBorders>
              <w:top w:val="single" w:sz="4" w:space="0" w:color="auto"/>
            </w:tcBorders>
          </w:tcPr>
          <w:p w:rsidR="00766065" w:rsidRPr="00766065" w:rsidRDefault="00766065" w:rsidP="00766065">
            <w:pPr>
              <w:pStyle w:val="TableText"/>
              <w:rPr>
                <w:b/>
              </w:rPr>
            </w:pPr>
            <w:r w:rsidRPr="00766065">
              <w:rPr>
                <w:b/>
              </w:rPr>
              <w:t>No stress</w:t>
            </w:r>
          </w:p>
        </w:tc>
        <w:tc>
          <w:tcPr>
            <w:tcW w:w="828" w:type="pct"/>
          </w:tcPr>
          <w:p w:rsidR="00766065" w:rsidRPr="00766065" w:rsidRDefault="00766065" w:rsidP="00766065">
            <w:pPr>
              <w:pStyle w:val="TableText"/>
            </w:pPr>
            <w:r w:rsidRPr="00766065">
              <w:t>15.4</w:t>
            </w:r>
          </w:p>
        </w:tc>
        <w:tc>
          <w:tcPr>
            <w:tcW w:w="899" w:type="pct"/>
          </w:tcPr>
          <w:p w:rsidR="00766065" w:rsidRPr="00766065" w:rsidRDefault="00766065" w:rsidP="00766065">
            <w:pPr>
              <w:pStyle w:val="TableText"/>
            </w:pPr>
            <w:r w:rsidRPr="00766065">
              <w:t>23.6</w:t>
            </w:r>
          </w:p>
        </w:tc>
        <w:tc>
          <w:tcPr>
            <w:tcW w:w="774" w:type="pct"/>
          </w:tcPr>
          <w:p w:rsidR="00766065" w:rsidRPr="00766065" w:rsidRDefault="00766065" w:rsidP="00766065">
            <w:pPr>
              <w:pStyle w:val="TableText"/>
            </w:pPr>
            <w:r w:rsidRPr="00766065">
              <w:t>12.5</w:t>
            </w:r>
          </w:p>
        </w:tc>
        <w:tc>
          <w:tcPr>
            <w:tcW w:w="899" w:type="pct"/>
          </w:tcPr>
          <w:p w:rsidR="00766065" w:rsidRPr="00766065" w:rsidRDefault="00766065" w:rsidP="00766065">
            <w:pPr>
              <w:pStyle w:val="TableText"/>
            </w:pPr>
            <w:r w:rsidRPr="00766065">
              <w:t>22.2</w:t>
            </w:r>
          </w:p>
        </w:tc>
        <w:tc>
          <w:tcPr>
            <w:tcW w:w="710" w:type="pct"/>
          </w:tcPr>
          <w:p w:rsidR="00766065" w:rsidRPr="00766065" w:rsidRDefault="00766065" w:rsidP="00766065">
            <w:pPr>
              <w:pStyle w:val="TableText"/>
            </w:pPr>
            <w:r w:rsidRPr="00766065">
              <w:t>18.4</w:t>
            </w:r>
          </w:p>
        </w:tc>
      </w:tr>
      <w:tr w:rsidR="000D5ABF" w:rsidRPr="00766065" w:rsidTr="00766065">
        <w:tc>
          <w:tcPr>
            <w:tcW w:w="890" w:type="pct"/>
          </w:tcPr>
          <w:p w:rsidR="00766065" w:rsidRPr="00766065" w:rsidRDefault="00766065" w:rsidP="00766065">
            <w:pPr>
              <w:pStyle w:val="TableText"/>
              <w:rPr>
                <w:b/>
              </w:rPr>
            </w:pPr>
            <w:r w:rsidRPr="00766065">
              <w:rPr>
                <w:b/>
              </w:rPr>
              <w:t>Moderate</w:t>
            </w:r>
          </w:p>
          <w:p w:rsidR="00766065" w:rsidRPr="00766065" w:rsidRDefault="00766065" w:rsidP="00766065">
            <w:pPr>
              <w:pStyle w:val="TableText"/>
              <w:rPr>
                <w:b/>
              </w:rPr>
            </w:pPr>
            <w:r w:rsidRPr="00766065">
              <w:rPr>
                <w:b/>
              </w:rPr>
              <w:t>stress</w:t>
            </w:r>
          </w:p>
        </w:tc>
        <w:tc>
          <w:tcPr>
            <w:tcW w:w="828" w:type="pct"/>
          </w:tcPr>
          <w:p w:rsidR="00766065" w:rsidRPr="00766065" w:rsidRDefault="00766065" w:rsidP="00766065">
            <w:pPr>
              <w:pStyle w:val="TableText"/>
            </w:pPr>
            <w:r w:rsidRPr="00766065">
              <w:t>32.5</w:t>
            </w:r>
          </w:p>
        </w:tc>
        <w:tc>
          <w:tcPr>
            <w:tcW w:w="899" w:type="pct"/>
          </w:tcPr>
          <w:p w:rsidR="00766065" w:rsidRPr="00766065" w:rsidRDefault="00766065" w:rsidP="00766065">
            <w:pPr>
              <w:pStyle w:val="TableText"/>
            </w:pPr>
            <w:r w:rsidRPr="00766065">
              <w:t>30.9</w:t>
            </w:r>
          </w:p>
        </w:tc>
        <w:tc>
          <w:tcPr>
            <w:tcW w:w="774" w:type="pct"/>
          </w:tcPr>
          <w:p w:rsidR="00766065" w:rsidRPr="00766065" w:rsidRDefault="00766065" w:rsidP="00766065">
            <w:pPr>
              <w:pStyle w:val="TableText"/>
            </w:pPr>
            <w:r w:rsidRPr="00766065">
              <w:t>20.8</w:t>
            </w:r>
          </w:p>
        </w:tc>
        <w:tc>
          <w:tcPr>
            <w:tcW w:w="899" w:type="pct"/>
          </w:tcPr>
          <w:p w:rsidR="00766065" w:rsidRPr="00766065" w:rsidRDefault="00766065" w:rsidP="00766065">
            <w:pPr>
              <w:pStyle w:val="TableText"/>
            </w:pPr>
            <w:r w:rsidRPr="00766065">
              <w:t>25.0</w:t>
            </w:r>
          </w:p>
        </w:tc>
        <w:tc>
          <w:tcPr>
            <w:tcW w:w="710" w:type="pct"/>
          </w:tcPr>
          <w:p w:rsidR="00766065" w:rsidRPr="00766065" w:rsidRDefault="00766065" w:rsidP="00766065">
            <w:pPr>
              <w:pStyle w:val="TableText"/>
            </w:pPr>
            <w:r w:rsidRPr="00766065">
              <w:t>27.3</w:t>
            </w:r>
          </w:p>
        </w:tc>
      </w:tr>
      <w:tr w:rsidR="00C112A7" w:rsidRPr="00766065" w:rsidTr="00766065">
        <w:tc>
          <w:tcPr>
            <w:tcW w:w="890" w:type="pct"/>
          </w:tcPr>
          <w:p w:rsidR="00766065" w:rsidRPr="00766065" w:rsidRDefault="00766065" w:rsidP="00766065">
            <w:pPr>
              <w:pStyle w:val="TableText"/>
              <w:rPr>
                <w:b/>
              </w:rPr>
            </w:pPr>
            <w:r w:rsidRPr="00766065">
              <w:rPr>
                <w:b/>
              </w:rPr>
              <w:t>Higher stress</w:t>
            </w:r>
          </w:p>
        </w:tc>
        <w:tc>
          <w:tcPr>
            <w:tcW w:w="828" w:type="pct"/>
          </w:tcPr>
          <w:p w:rsidR="00766065" w:rsidRPr="00766065" w:rsidRDefault="00766065" w:rsidP="00766065">
            <w:pPr>
              <w:pStyle w:val="TableText"/>
            </w:pPr>
            <w:r w:rsidRPr="00766065">
              <w:t>52.1</w:t>
            </w:r>
          </w:p>
        </w:tc>
        <w:tc>
          <w:tcPr>
            <w:tcW w:w="899" w:type="pct"/>
          </w:tcPr>
          <w:p w:rsidR="00766065" w:rsidRPr="00766065" w:rsidRDefault="00766065" w:rsidP="00766065">
            <w:pPr>
              <w:pStyle w:val="TableText"/>
            </w:pPr>
            <w:r w:rsidRPr="00766065">
              <w:t>45.5</w:t>
            </w:r>
          </w:p>
        </w:tc>
        <w:tc>
          <w:tcPr>
            <w:tcW w:w="774" w:type="pct"/>
          </w:tcPr>
          <w:p w:rsidR="00766065" w:rsidRPr="00766065" w:rsidRDefault="00766065" w:rsidP="00766065">
            <w:pPr>
              <w:pStyle w:val="TableText"/>
            </w:pPr>
            <w:r w:rsidRPr="00766065">
              <w:t>66.7</w:t>
            </w:r>
          </w:p>
        </w:tc>
        <w:tc>
          <w:tcPr>
            <w:tcW w:w="899" w:type="pct"/>
          </w:tcPr>
          <w:p w:rsidR="00766065" w:rsidRPr="00766065" w:rsidRDefault="00766065" w:rsidP="00766065">
            <w:pPr>
              <w:pStyle w:val="TableText"/>
            </w:pPr>
            <w:r w:rsidRPr="00766065">
              <w:t>52.8</w:t>
            </w:r>
          </w:p>
        </w:tc>
        <w:tc>
          <w:tcPr>
            <w:tcW w:w="710" w:type="pct"/>
          </w:tcPr>
          <w:p w:rsidR="00766065" w:rsidRPr="00766065" w:rsidRDefault="00766065" w:rsidP="00766065">
            <w:pPr>
              <w:pStyle w:val="TableText"/>
            </w:pPr>
            <w:r w:rsidRPr="00766065">
              <w:t>54.3</w:t>
            </w:r>
          </w:p>
        </w:tc>
      </w:tr>
    </w:tbl>
    <w:p w:rsidR="003D57D5" w:rsidRDefault="003D57D5" w:rsidP="003D57D5"/>
    <w:p w:rsidR="0019071C" w:rsidRPr="0019071C" w:rsidRDefault="0019071C" w:rsidP="0019071C">
      <w:pPr>
        <w:rPr>
          <w:lang w:val="en-US"/>
        </w:rPr>
      </w:pPr>
      <w:r w:rsidRPr="0019071C">
        <w:rPr>
          <w:lang w:val="en-US"/>
        </w:rPr>
        <w:t>A Pearson correlation provides further support for the validity of this data, indicating that the financial stress categories detailed above (Table 11) have a strong correlation (r=.546, n=531, p&lt;.001) with the level of personal financial stress that individual respondents indicated that they were experiencing on a 5-point Likert scale.</w:t>
      </w:r>
    </w:p>
    <w:p w:rsidR="0019071C" w:rsidRPr="0019071C" w:rsidRDefault="0019071C" w:rsidP="0019071C">
      <w:pPr>
        <w:rPr>
          <w:lang w:val="en-US"/>
        </w:rPr>
      </w:pPr>
      <w:r w:rsidRPr="0019071C">
        <w:rPr>
          <w:lang w:val="en-US"/>
        </w:rPr>
        <w:t>Analysis shows that respondents who have not relocated (for both age groupings) are the least stressed, and those aged 25 years and over who have relocated appear to be the most stressed. Stress can apply to all students whether they are regional, have relocated or have remained in the same city. Juggling different aspects of life when there are many competing demands and where young adults have limited time management experience can compound stress. The proportion of regional students that are highly stressed is significant with regional students across all categories feeling moderately to highly stressed. Baik et al. (2015) in their survey of first year students reported that:</w:t>
      </w:r>
    </w:p>
    <w:p w:rsidR="0019071C" w:rsidRPr="0019071C" w:rsidRDefault="0019071C" w:rsidP="0019071C">
      <w:pPr>
        <w:pStyle w:val="Quote"/>
        <w:rPr>
          <w:lang w:val="en-US"/>
        </w:rPr>
      </w:pPr>
      <w:r w:rsidRPr="0019071C">
        <w:rPr>
          <w:lang w:val="en-US"/>
        </w:rPr>
        <w:t xml:space="preserve">Forty-four per cent of students from regional and remote backgrounds reported that their financial situations were frequently a source of stress for them, compared to 24 per cent of their peers. </w:t>
      </w:r>
      <w:r w:rsidRPr="0019071C">
        <w:rPr>
          <w:i w:val="0"/>
          <w:lang w:val="en-US"/>
        </w:rPr>
        <w:t>(p. 79)</w:t>
      </w:r>
    </w:p>
    <w:p w:rsidR="0019071C" w:rsidRPr="0019071C" w:rsidRDefault="0019071C" w:rsidP="0019071C">
      <w:pPr>
        <w:rPr>
          <w:lang w:val="en-US"/>
        </w:rPr>
      </w:pPr>
      <w:r w:rsidRPr="0019071C">
        <w:rPr>
          <w:lang w:val="en-US"/>
        </w:rPr>
        <w:t>While the Baik et al. (2015) study did not include continuing or postgraduate students, this report shows that stress levels for both those aged under 25 and those aged 25 years and over are higher than previously reported for regional students. Polesel and Klatt (2014) in their recent study of deferring students, also concluded that financial stress and travel costs seem to be the biggest barrier for students taking up university places.</w:t>
      </w:r>
    </w:p>
    <w:p w:rsidR="00337A14" w:rsidRDefault="00337A14" w:rsidP="00337A14">
      <w:pPr>
        <w:keepNext/>
      </w:pPr>
      <w:r>
        <w:rPr>
          <w:noProof/>
          <w:lang w:eastAsia="en-AU"/>
        </w:rPr>
        <w:drawing>
          <wp:inline distT="0" distB="0" distL="0" distR="0">
            <wp:extent cx="5731510" cy="3604895"/>
            <wp:effectExtent l="0" t="0" r="2540" b="0"/>
            <wp:docPr id="26" name="Picture 26" descr="Bar graph displaying the indicators of financial stress for regional students (shown in percentages), split into under 25, and 25 and over." title="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jpg"/>
                    <pic:cNvPicPr/>
                  </pic:nvPicPr>
                  <pic:blipFill>
                    <a:blip r:embed="rId28">
                      <a:extLst>
                        <a:ext uri="{28A0092B-C50C-407E-A947-70E740481C1C}">
                          <a14:useLocalDpi xmlns:a14="http://schemas.microsoft.com/office/drawing/2010/main" val="0"/>
                        </a:ext>
                      </a:extLst>
                    </a:blip>
                    <a:stretch>
                      <a:fillRect/>
                    </a:stretch>
                  </pic:blipFill>
                  <pic:spPr>
                    <a:xfrm>
                      <a:off x="0" y="0"/>
                      <a:ext cx="5731510" cy="3604895"/>
                    </a:xfrm>
                    <a:prstGeom prst="rect">
                      <a:avLst/>
                    </a:prstGeom>
                  </pic:spPr>
                </pic:pic>
              </a:graphicData>
            </a:graphic>
          </wp:inline>
        </w:drawing>
      </w:r>
    </w:p>
    <w:p w:rsidR="0019071C" w:rsidRDefault="00337A14" w:rsidP="00337A14">
      <w:pPr>
        <w:pStyle w:val="FigureTitles"/>
      </w:pPr>
      <w:bookmarkStart w:id="59" w:name="_Toc517270591"/>
      <w:r>
        <w:t xml:space="preserve">Figure </w:t>
      </w:r>
      <w:fldSimple w:instr=" SEQ Figure \* ARABIC ">
        <w:r w:rsidR="00B00AA1">
          <w:rPr>
            <w:noProof/>
          </w:rPr>
          <w:t>17</w:t>
        </w:r>
      </w:fldSimple>
      <w:r>
        <w:t xml:space="preserve">: </w:t>
      </w:r>
      <w:r w:rsidRPr="008172B3">
        <w:t>Indicators of financial stress for regional students</w:t>
      </w:r>
      <w:bookmarkEnd w:id="59"/>
    </w:p>
    <w:p w:rsidR="00C112A7" w:rsidRDefault="00C112A7" w:rsidP="00C112A7">
      <w:r>
        <w:br/>
        <w:t>Overall, a lack of financial means suggests that respondents engage in unhealthy lifestyle choices such as making unhealthy food choices, or forgoing essential services such as seeking medical assistance.</w:t>
      </w:r>
    </w:p>
    <w:p w:rsidR="00C112A7" w:rsidRDefault="00C112A7" w:rsidP="00C112A7">
      <w:pPr>
        <w:pStyle w:val="Quote"/>
      </w:pPr>
      <w:r>
        <w:t>Not receiving any income support means that I cut back on a lot of things … one time I got sick and then I got really sick because I didn’t go the doctor ... I couldn’t afford to go to the doctor. I’ve also been late in some bill payments which isn’t really good for my credit. But you just have to deal with it. It’s an emotional part.</w:t>
      </w:r>
      <w:r w:rsidRPr="00C112A7">
        <w:rPr>
          <w:i w:val="0"/>
        </w:rPr>
        <w:t xml:space="preserve"> Lisa</w:t>
      </w:r>
    </w:p>
    <w:p w:rsidR="00C112A7" w:rsidRDefault="00C112A7" w:rsidP="00C112A7">
      <w:r>
        <w:t>Whilst Lewis et al. (2007) reported that nearly half of their respondents indicated that financial hardship prevented them from eating healthily, our results found the same proportion of students aged under 25 (48%) and 38% of students aged 25 and over, reported that financial hardship contributed towards unhealthy eating habits.</w:t>
      </w:r>
    </w:p>
    <w:p w:rsidR="00C112A7" w:rsidRDefault="00C112A7" w:rsidP="00C112A7">
      <w:pPr>
        <w:pStyle w:val="Quote"/>
      </w:pPr>
      <w:r>
        <w:t>I lived on about $200 for a whole year. $200 a fortnight for a whole year. So, that was about $50 ... it was around $200 a fortnight, and I have to pay board to my uncle (which is $140 a fortnight), and then whatever money towards bills. So ... it was a struggle. I became really unhealthy and I got sick a lot. I literally just ate box food. It was not great. I put on a lot of weight and nothing was fitting me. I couldn’t look at myself in the mirror ... it got to that point.</w:t>
      </w:r>
      <w:r w:rsidRPr="00C112A7">
        <w:rPr>
          <w:i w:val="0"/>
        </w:rPr>
        <w:t xml:space="preserve"> Harper</w:t>
      </w:r>
    </w:p>
    <w:p w:rsidR="00C112A7" w:rsidRDefault="00C112A7" w:rsidP="00C112A7">
      <w:r>
        <w:t xml:space="preserve"> Around 50% of all students aged under 25 had to borrow money from family or friends, whilst 40% of students aged 25 years and older were required to borrow money from family and friends as a result of financial difficulties. The Halliday-Wynes and Nguyen (2014) study reported on financial stress for all students under 25 years of age (not only regional) using Longitudinal Surveys of Australian Youth (LSAY) data and 51 interviews, and used the same stress indicator models as this study. They reported that ‘(t)he most common financial stress indicator reported by respondents was the need to ask family or friends for money. The findings also suggest that amongst young people informal debt, such as debt incurred through loans from parents or relatives, appears to be more usual than formal debt.’(p. 7)</w:t>
      </w:r>
    </w:p>
    <w:p w:rsidR="00C112A7" w:rsidRDefault="00C112A7" w:rsidP="00C112A7">
      <w:pPr>
        <w:pStyle w:val="Quote"/>
        <w:rPr>
          <w:i w:val="0"/>
        </w:rPr>
      </w:pPr>
      <w:r>
        <w:rPr>
          <w:noProof/>
          <w:lang w:eastAsia="en-AU"/>
        </w:rPr>
        <w:drawing>
          <wp:anchor distT="0" distB="0" distL="114300" distR="114300" simplePos="0" relativeHeight="251687936" behindDoc="0" locked="0" layoutInCell="1" allowOverlap="1">
            <wp:simplePos x="0" y="0"/>
            <wp:positionH relativeFrom="column">
              <wp:posOffset>0</wp:posOffset>
            </wp:positionH>
            <wp:positionV relativeFrom="paragraph">
              <wp:posOffset>1030605</wp:posOffset>
            </wp:positionV>
            <wp:extent cx="5731510" cy="2143760"/>
            <wp:effectExtent l="0" t="0" r="2540" b="8890"/>
            <wp:wrapSquare wrapText="bothSides"/>
            <wp:docPr id="27" name="Picture 27" descr="Bar graph displaying the financial impact on university studies for students aged under 25 (shown in percentages), split into relocated and non-relocated." title="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jpg"/>
                    <pic:cNvPicPr/>
                  </pic:nvPicPr>
                  <pic:blipFill>
                    <a:blip r:embed="rId29">
                      <a:extLst>
                        <a:ext uri="{28A0092B-C50C-407E-A947-70E740481C1C}">
                          <a14:useLocalDpi xmlns:a14="http://schemas.microsoft.com/office/drawing/2010/main" val="0"/>
                        </a:ext>
                      </a:extLst>
                    </a:blip>
                    <a:stretch>
                      <a:fillRect/>
                    </a:stretch>
                  </pic:blipFill>
                  <pic:spPr>
                    <a:xfrm>
                      <a:off x="0" y="0"/>
                      <a:ext cx="5731510" cy="2143760"/>
                    </a:xfrm>
                    <a:prstGeom prst="rect">
                      <a:avLst/>
                    </a:prstGeom>
                  </pic:spPr>
                </pic:pic>
              </a:graphicData>
            </a:graphic>
            <wp14:sizeRelH relativeFrom="page">
              <wp14:pctWidth>0</wp14:pctWidth>
            </wp14:sizeRelH>
            <wp14:sizeRelV relativeFrom="page">
              <wp14:pctHeight>0</wp14:pctHeight>
            </wp14:sizeRelV>
          </wp:anchor>
        </w:drawing>
      </w:r>
      <w:r>
        <w:t xml:space="preserve">I work in hospitality which is seasonal. Over winter I was earning $30 a week which doesn’t even pay food, water, rent, fuel ... so I would be taking money from my parents (which I hate doing), from my aunty and uncle (who I’m currently boarding with), from my boyfriend ... from my friends. </w:t>
      </w:r>
      <w:r w:rsidRPr="00C112A7">
        <w:rPr>
          <w:i w:val="0"/>
        </w:rPr>
        <w:t>Grace</w:t>
      </w:r>
    </w:p>
    <w:p w:rsidR="00C112A7" w:rsidRDefault="00C112A7" w:rsidP="00C112A7">
      <w:pPr>
        <w:pStyle w:val="FigureTitles"/>
      </w:pPr>
      <w:r>
        <w:rPr>
          <w:rFonts w:eastAsia="Calibri"/>
          <w:b w:val="0"/>
          <w:sz w:val="24"/>
          <w:szCs w:val="22"/>
        </w:rPr>
        <w:br/>
      </w:r>
      <w:bookmarkStart w:id="60" w:name="_Toc517270592"/>
      <w:r>
        <w:t xml:space="preserve">Figure </w:t>
      </w:r>
      <w:fldSimple w:instr=" SEQ Figure \* ARABIC ">
        <w:r w:rsidR="00B00AA1">
          <w:rPr>
            <w:noProof/>
          </w:rPr>
          <w:t>18</w:t>
        </w:r>
      </w:fldSimple>
      <w:r>
        <w:t xml:space="preserve">: </w:t>
      </w:r>
      <w:r w:rsidRPr="00283478">
        <w:t>Financial impact on university studies for students aged under 25 years of age</w:t>
      </w:r>
      <w:bookmarkEnd w:id="60"/>
    </w:p>
    <w:p w:rsidR="00C112A7" w:rsidRDefault="00C112A7" w:rsidP="00C112A7">
      <w:r>
        <w:br/>
        <w:t>Figure 18 shows that the majority of respondents aged under 25 in this study indicated that financial stress had a negative impact on university studies. Comments made in interviews also support the findings of James, Krause and Jennings (2010) who noted that regional students were more likely than other students to experience financial stress and to believe that this impacted their academic progress.</w:t>
      </w:r>
    </w:p>
    <w:p w:rsidR="00C112A7" w:rsidRDefault="00C112A7" w:rsidP="00C112A7">
      <w:pPr>
        <w:pStyle w:val="Quote"/>
      </w:pPr>
      <w:r>
        <w:t xml:space="preserve">Certainly in the first year I really struggled to settle, and I think my grades probably looking back at my transcript reflect that. At the time I was also going through some personal issues but not having the family support there and being able to fall back on that really did cost me, and I think I ended up having to go back and get ... an appeal to get a couple of fails off my grade because of the personal stuff that I had going on. I guess there I just didn’t have any idea of the support network that I now know of that is available. </w:t>
      </w:r>
      <w:r w:rsidRPr="00C112A7">
        <w:rPr>
          <w:i w:val="0"/>
        </w:rPr>
        <w:t>Emma</w:t>
      </w:r>
    </w:p>
    <w:p w:rsidR="00C112A7" w:rsidRDefault="00C112A7" w:rsidP="00C112A7">
      <w:pPr>
        <w:pStyle w:val="Quote"/>
      </w:pPr>
      <w:r>
        <w:t xml:space="preserve">When I first came over I was still really settling into the whole lifestyle and everything, so you can see all my transcripts where my grades were horrible in the first semester compared to the rest. </w:t>
      </w:r>
      <w:r w:rsidRPr="00C112A7">
        <w:rPr>
          <w:i w:val="0"/>
        </w:rPr>
        <w:t>Sophie</w:t>
      </w:r>
    </w:p>
    <w:p w:rsidR="00C112A7" w:rsidRDefault="00C112A7" w:rsidP="00C112A7">
      <w:r>
        <w:t>While stress is a significant factor that can lead to regional students withdrawing from their university studies, research indicates that financial stress also contributes to day-to-day feelings of being stressed, tired and rundown (Halliday-Wynes &amp; Nguyen 2014). Figures 18 and 19 indicate the negative impact financial stress had on study, with 63% indicating that financial stress affected their emotional and physical health, and 50% indicating that financial stress impacted their motivation to study. Students aged 25 and, over regardless of relocation, seem to be the most stressed, with many in this group having carer responsibilities (64%). Evidence of the cumulative effect of financial stress, family and study was articulated by one interviewee:</w:t>
      </w:r>
    </w:p>
    <w:p w:rsidR="00C112A7" w:rsidRDefault="00C112A7" w:rsidP="00C112A7">
      <w:pPr>
        <w:pStyle w:val="Quote"/>
        <w:rPr>
          <w:i w:val="0"/>
        </w:rPr>
      </w:pPr>
      <w:r>
        <w:t>My husband is casual so if he doesn’t work then we don’t have any income, so I’ve had to keep working and keep a 0.6 nursing contract (so I work six days a fortnight in shift work). I’m in Adelaide for the whole week and there’s an exam at the end of it, knowing that I can’t take days off this week to study ahead of time because financially I need to keep working and keep as many as my Annual Leave days sitting there for placements. It just ... there are weeks where I just think, ‘I’m going to explode ... I can’t do this’.</w:t>
      </w:r>
      <w:r w:rsidRPr="00C112A7">
        <w:rPr>
          <w:i w:val="0"/>
        </w:rPr>
        <w:t xml:space="preserve"> Emily</w:t>
      </w:r>
    </w:p>
    <w:p w:rsidR="00D80A2E" w:rsidRDefault="00D80A2E" w:rsidP="00D80A2E">
      <w:r>
        <w:rPr>
          <w:noProof/>
          <w:lang w:eastAsia="en-AU"/>
        </w:rPr>
        <w:drawing>
          <wp:anchor distT="0" distB="0" distL="114300" distR="114300" simplePos="0" relativeHeight="251688960" behindDoc="0" locked="0" layoutInCell="1" allowOverlap="1">
            <wp:simplePos x="0" y="0"/>
            <wp:positionH relativeFrom="column">
              <wp:posOffset>0</wp:posOffset>
            </wp:positionH>
            <wp:positionV relativeFrom="paragraph">
              <wp:posOffset>226695</wp:posOffset>
            </wp:positionV>
            <wp:extent cx="5731510" cy="2186940"/>
            <wp:effectExtent l="0" t="0" r="2540" b="3810"/>
            <wp:wrapSquare wrapText="bothSides"/>
            <wp:docPr id="28" name="Picture 28" descr="Bar graph displaying the financial impact on university studies for students 25 years and over (shown in percentages), split into relocated and non-relocated." title="Fig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jpg"/>
                    <pic:cNvPicPr/>
                  </pic:nvPicPr>
                  <pic:blipFill>
                    <a:blip r:embed="rId30">
                      <a:extLst>
                        <a:ext uri="{28A0092B-C50C-407E-A947-70E740481C1C}">
                          <a14:useLocalDpi xmlns:a14="http://schemas.microsoft.com/office/drawing/2010/main" val="0"/>
                        </a:ext>
                      </a:extLst>
                    </a:blip>
                    <a:stretch>
                      <a:fillRect/>
                    </a:stretch>
                  </pic:blipFill>
                  <pic:spPr>
                    <a:xfrm>
                      <a:off x="0" y="0"/>
                      <a:ext cx="5731510" cy="2186940"/>
                    </a:xfrm>
                    <a:prstGeom prst="rect">
                      <a:avLst/>
                    </a:prstGeom>
                  </pic:spPr>
                </pic:pic>
              </a:graphicData>
            </a:graphic>
            <wp14:sizeRelH relativeFrom="page">
              <wp14:pctWidth>0</wp14:pctWidth>
            </wp14:sizeRelH>
            <wp14:sizeRelV relativeFrom="page">
              <wp14:pctHeight>0</wp14:pctHeight>
            </wp14:sizeRelV>
          </wp:anchor>
        </w:drawing>
      </w:r>
    </w:p>
    <w:p w:rsidR="00D80A2E" w:rsidRDefault="00D80A2E" w:rsidP="00D80A2E">
      <w:pPr>
        <w:pStyle w:val="FigureTitles"/>
      </w:pPr>
      <w:r>
        <w:rPr>
          <w:rFonts w:eastAsia="Calibri"/>
          <w:b w:val="0"/>
          <w:sz w:val="24"/>
          <w:szCs w:val="22"/>
        </w:rPr>
        <w:br/>
      </w:r>
      <w:bookmarkStart w:id="61" w:name="_Toc517270593"/>
      <w:r>
        <w:t xml:space="preserve">Figure </w:t>
      </w:r>
      <w:fldSimple w:instr=" SEQ Figure \* ARABIC ">
        <w:r w:rsidR="00B00AA1">
          <w:rPr>
            <w:noProof/>
          </w:rPr>
          <w:t>19</w:t>
        </w:r>
      </w:fldSimple>
      <w:r>
        <w:t xml:space="preserve">: </w:t>
      </w:r>
      <w:r w:rsidRPr="003F62F8">
        <w:t>Financial impact on university studies for students 25 years and over</w:t>
      </w:r>
      <w:bookmarkEnd w:id="61"/>
    </w:p>
    <w:p w:rsidR="00080D1F" w:rsidRPr="00080D1F" w:rsidRDefault="00080D1F" w:rsidP="00080D1F">
      <w:pPr>
        <w:rPr>
          <w:lang w:val="en-US"/>
        </w:rPr>
      </w:pPr>
      <w:r>
        <w:br/>
      </w:r>
      <w:r w:rsidRPr="00080D1F">
        <w:rPr>
          <w:lang w:val="en-US"/>
        </w:rPr>
        <w:t>Regardless of age, over 50% of participants indicated that their financial difficulties meant that they were not able to participate in social activities. This lack of social interaction is of particular concern for regional and remote students who are required to leave behind familiar family and friend support networks and are required to establish new friendships (Baik et al. 2015). This establishment of new friendship groups, who potentially provide support in the absence of family, is difficult to achieve without the financial means and time to participate in social or sporting activities.</w:t>
      </w:r>
    </w:p>
    <w:p w:rsidR="00080D1F" w:rsidRDefault="00080D1F" w:rsidP="00080D1F">
      <w:pPr>
        <w:pStyle w:val="Quote"/>
        <w:rPr>
          <w:i w:val="0"/>
          <w:lang w:val="en-US"/>
        </w:rPr>
      </w:pPr>
      <w:r w:rsidRPr="00080D1F">
        <w:rPr>
          <w:lang w:val="en-US"/>
        </w:rPr>
        <w:t xml:space="preserve">Rent adds huge pressure, and I usually can only work a day out of my week because for me studying is a first priority and I really want do well, which means that there’s only money for rent and the necessities. So, that dampens your social life … disposable income doesn’t really exist. </w:t>
      </w:r>
      <w:r w:rsidRPr="00080D1F">
        <w:rPr>
          <w:i w:val="0"/>
          <w:lang w:val="en-US"/>
        </w:rPr>
        <w:t>Ruby</w:t>
      </w:r>
    </w:p>
    <w:p w:rsidR="00080D1F" w:rsidRDefault="00080D1F">
      <w:pPr>
        <w:spacing w:after="0"/>
        <w:rPr>
          <w:iCs/>
          <w:lang w:val="en-US"/>
        </w:rPr>
      </w:pPr>
      <w:r>
        <w:rPr>
          <w:i/>
          <w:lang w:val="en-US"/>
        </w:rPr>
        <w:br w:type="page"/>
      </w:r>
    </w:p>
    <w:p w:rsidR="00D80A2E" w:rsidRDefault="00080D1F" w:rsidP="00080D1F">
      <w:pPr>
        <w:pStyle w:val="Heading1"/>
        <w:rPr>
          <w:lang w:val="en-US"/>
        </w:rPr>
      </w:pPr>
      <w:bookmarkStart w:id="62" w:name="_Toc517270340"/>
      <w:r>
        <w:rPr>
          <w:lang w:val="en-US"/>
        </w:rPr>
        <w:t>4. Becoming and being a Student</w:t>
      </w:r>
      <w:bookmarkEnd w:id="62"/>
    </w:p>
    <w:p w:rsidR="00080D1F" w:rsidRDefault="00080D1F" w:rsidP="00080D1F">
      <w:pPr>
        <w:pStyle w:val="Heading2"/>
        <w:rPr>
          <w:lang w:val="en-US"/>
        </w:rPr>
      </w:pPr>
      <w:bookmarkStart w:id="63" w:name="_Toc517270341"/>
      <w:r>
        <w:rPr>
          <w:lang w:val="en-US"/>
        </w:rPr>
        <w:t>4.1 Pathways</w:t>
      </w:r>
      <w:bookmarkEnd w:id="63"/>
    </w:p>
    <w:p w:rsidR="00080D1F" w:rsidRPr="00080D1F" w:rsidRDefault="00080D1F" w:rsidP="00080D1F">
      <w:pPr>
        <w:rPr>
          <w:lang w:val="en-US"/>
        </w:rPr>
      </w:pPr>
      <w:r w:rsidRPr="00080D1F">
        <w:rPr>
          <w:lang w:val="en-US"/>
        </w:rPr>
        <w:t>The majority of respondents report having made the decision to attend university prior to Year 12 (51%), with only a small proportion deciding during Year 12 (13%) and the balance of respondents (36%) deciding after a period of having left school. A number of interviewees indicated that the reason for not deciding to go to university whilst at high school related to being uncertain of what they wanted to study and concern regarding making the wrong decision.</w:t>
      </w:r>
    </w:p>
    <w:p w:rsidR="00080D1F" w:rsidRPr="00080D1F" w:rsidRDefault="00080D1F" w:rsidP="00080D1F">
      <w:pPr>
        <w:rPr>
          <w:lang w:val="en-US"/>
        </w:rPr>
      </w:pPr>
      <w:r w:rsidRPr="00080D1F">
        <w:rPr>
          <w:lang w:val="en-US"/>
        </w:rPr>
        <w:t>For William, concern surrounding how his family was going to afford to send him to Adelaide to complete a teaching degree was an underlying cause regarding his last minute application to university.</w:t>
      </w:r>
    </w:p>
    <w:p w:rsidR="00080D1F" w:rsidRPr="00080D1F" w:rsidRDefault="00080D1F" w:rsidP="00080D1F">
      <w:pPr>
        <w:pStyle w:val="Quote"/>
        <w:rPr>
          <w:lang w:val="en-US"/>
        </w:rPr>
      </w:pPr>
      <w:r w:rsidRPr="00080D1F">
        <w:rPr>
          <w:lang w:val="en-US"/>
        </w:rPr>
        <w:t xml:space="preserve">There was a lot of speculation (but not a lot of action) about how exactly I would get into university. There wasn’t a lot of concern about grades or anything like that, but particularly in relation to financial circumstance … so it was really perhaps (partly through dumb luck and a little bit of inaction) that I ended up here. I ... uh, I really sort of hit the end of the admission date and thought, ‘oh, what do I do?’, and it just turned out that they’d started a teaching program in Mount Gambier, and I jumped right into that. </w:t>
      </w:r>
      <w:r w:rsidRPr="00080D1F">
        <w:rPr>
          <w:i w:val="0"/>
          <w:lang w:val="en-US"/>
        </w:rPr>
        <w:t>William</w:t>
      </w:r>
    </w:p>
    <w:p w:rsidR="00080D1F" w:rsidRPr="00080D1F" w:rsidRDefault="00080D1F" w:rsidP="00080D1F">
      <w:pPr>
        <w:rPr>
          <w:lang w:val="en-US"/>
        </w:rPr>
      </w:pPr>
      <w:r w:rsidRPr="00080D1F">
        <w:rPr>
          <w:lang w:val="en-US"/>
        </w:rPr>
        <w:t>Through the qualitative analysis process two opposing attitudes towards university emerged, with some regional communities and schools described as being very proactive in encouraging local students to pursue higher education, whereas in contrast other regional communities and schools were described as actively discouraging students from continuing their education. Charlotte recalls that the teachers at her regional high school knew very little about university, stating:</w:t>
      </w:r>
    </w:p>
    <w:p w:rsidR="00080D1F" w:rsidRPr="00080D1F" w:rsidRDefault="00080D1F" w:rsidP="00080D1F">
      <w:pPr>
        <w:pStyle w:val="Quote"/>
        <w:rPr>
          <w:lang w:val="en-US"/>
        </w:rPr>
      </w:pPr>
      <w:r w:rsidRPr="00080D1F">
        <w:rPr>
          <w:lang w:val="en-US"/>
        </w:rPr>
        <w:t xml:space="preserve">University wasn’t necessarily encouraged, I suppose. I mean it was something that was scrambled together once we were in Year 12, and at the start of the year they asked us what we wanted to do ... and that was about the extent of it, and then they tried to help us find a place to go. They didn’t really say, ‘oh, you should do this because of this and this’ ... they just sort of asked us what we wanted to do and for most </w:t>
      </w:r>
      <w:r>
        <w:rPr>
          <w:lang w:val="en-US"/>
        </w:rPr>
        <w:t xml:space="preserve">people it wasn’t uni. </w:t>
      </w:r>
      <w:r w:rsidRPr="00080D1F">
        <w:rPr>
          <w:i w:val="0"/>
          <w:lang w:val="en-US"/>
        </w:rPr>
        <w:t>Charlotte</w:t>
      </w:r>
    </w:p>
    <w:p w:rsidR="00080D1F" w:rsidRPr="00080D1F" w:rsidRDefault="00080D1F" w:rsidP="00080D1F">
      <w:pPr>
        <w:rPr>
          <w:lang w:val="en-US"/>
        </w:rPr>
      </w:pPr>
      <w:r w:rsidRPr="00080D1F">
        <w:rPr>
          <w:lang w:val="en-US"/>
        </w:rPr>
        <w:t>For Grace, not only did the school discourage university; she also found that her Mum ‘pushed’ her not to go.</w:t>
      </w:r>
    </w:p>
    <w:p w:rsidR="00080D1F" w:rsidRPr="00080D1F" w:rsidRDefault="00080D1F" w:rsidP="00080D1F">
      <w:pPr>
        <w:pStyle w:val="Quote"/>
        <w:rPr>
          <w:lang w:val="en-US"/>
        </w:rPr>
      </w:pPr>
      <w:r w:rsidRPr="00080D1F">
        <w:rPr>
          <w:lang w:val="en-US"/>
        </w:rPr>
        <w:t xml:space="preserve">She (Mum) said, ‘if you could get a job without it why would you bother? The only reason you go to university is to get a job’, and if I look around at my peers there are only six of us that went on to university which is quite a big number for our school ... we had one last year and none before that that went onto university. So, a lot of it is people just think, ‘you go to university to get a job ... you can get a job here ... why would you bother going?’ </w:t>
      </w:r>
      <w:r w:rsidRPr="00080D1F">
        <w:rPr>
          <w:i w:val="0"/>
          <w:lang w:val="en-US"/>
        </w:rPr>
        <w:t>Grace</w:t>
      </w:r>
    </w:p>
    <w:p w:rsidR="00080D1F" w:rsidRPr="00080D1F" w:rsidRDefault="00080D1F" w:rsidP="00080D1F">
      <w:pPr>
        <w:rPr>
          <w:lang w:val="en-US"/>
        </w:rPr>
      </w:pPr>
      <w:r w:rsidRPr="00080D1F">
        <w:rPr>
          <w:lang w:val="en-US"/>
        </w:rPr>
        <w:t>In contrast Ella commented that her school ‘sort of pushed the university aspect’. An experience also described by Isla:</w:t>
      </w:r>
    </w:p>
    <w:p w:rsidR="00080D1F" w:rsidRPr="00080D1F" w:rsidRDefault="00080D1F" w:rsidP="00080D1F">
      <w:pPr>
        <w:pStyle w:val="Quote"/>
        <w:rPr>
          <w:lang w:val="en-US"/>
        </w:rPr>
      </w:pPr>
      <w:r w:rsidRPr="00080D1F">
        <w:rPr>
          <w:lang w:val="en-US"/>
        </w:rPr>
        <w:t>It was a country school and the teachers were great ... don’t get me wrong, but most ... I’d say the majority of school the p</w:t>
      </w:r>
      <w:r>
        <w:rPr>
          <w:lang w:val="en-US"/>
        </w:rPr>
        <w:t xml:space="preserve">ressure is to go to uni. If you </w:t>
      </w:r>
      <w:r w:rsidRPr="00080D1F">
        <w:rPr>
          <w:lang w:val="en-US"/>
        </w:rPr>
        <w:t xml:space="preserve">have the ability ... if you have the knowledge or ability or academic then you go to uni. </w:t>
      </w:r>
      <w:r w:rsidRPr="00080D1F">
        <w:rPr>
          <w:i w:val="0"/>
          <w:lang w:val="en-US"/>
        </w:rPr>
        <w:t>Isla</w:t>
      </w:r>
    </w:p>
    <w:p w:rsidR="00080D1F" w:rsidRDefault="00080D1F" w:rsidP="00080D1F">
      <w:pPr>
        <w:rPr>
          <w:lang w:val="en-US"/>
        </w:rPr>
      </w:pPr>
      <w:r w:rsidRPr="00080D1F">
        <w:rPr>
          <w:lang w:val="en-US"/>
        </w:rPr>
        <w:t>For Sienna and Jasmine who both commenced at boarding school during their high school years, there was an obvious cultural shift in attitudes towards university, with the boarding schools having an expectation that students would continue on to university. Jasmine described the culture as ‘it’s university or it’s nothing’.</w:t>
      </w:r>
    </w:p>
    <w:p w:rsidR="00080D1F" w:rsidRDefault="00080D1F" w:rsidP="00080D1F">
      <w:pPr>
        <w:pStyle w:val="Heading2"/>
        <w:rPr>
          <w:lang w:val="en-US"/>
        </w:rPr>
      </w:pPr>
      <w:bookmarkStart w:id="64" w:name="_Toc517270342"/>
      <w:r>
        <w:rPr>
          <w:lang w:val="en-US"/>
        </w:rPr>
        <w:t>4.2 Motivation</w:t>
      </w:r>
      <w:bookmarkEnd w:id="64"/>
    </w:p>
    <w:p w:rsidR="00080D1F" w:rsidRDefault="0037063A" w:rsidP="00080D1F">
      <w:pPr>
        <w:rPr>
          <w:lang w:val="en-US"/>
        </w:rPr>
      </w:pPr>
      <w:r>
        <w:rPr>
          <w:noProof/>
          <w:lang w:eastAsia="en-AU"/>
        </w:rPr>
        <w:drawing>
          <wp:anchor distT="0" distB="0" distL="114300" distR="114300" simplePos="0" relativeHeight="251689984" behindDoc="0" locked="0" layoutInCell="1" allowOverlap="1">
            <wp:simplePos x="0" y="0"/>
            <wp:positionH relativeFrom="column">
              <wp:posOffset>0</wp:posOffset>
            </wp:positionH>
            <wp:positionV relativeFrom="paragraph">
              <wp:posOffset>975995</wp:posOffset>
            </wp:positionV>
            <wp:extent cx="5731510" cy="3579495"/>
            <wp:effectExtent l="0" t="0" r="2540" b="1905"/>
            <wp:wrapSquare wrapText="bothSides"/>
            <wp:docPr id="29" name="Picture 29" descr="Bar graph displaying the primary motivations to attend university (shown in percentages), split into under 25, and 25 and over." title="Fig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j.jpg"/>
                    <pic:cNvPicPr/>
                  </pic:nvPicPr>
                  <pic:blipFill>
                    <a:blip r:embed="rId31">
                      <a:extLst>
                        <a:ext uri="{28A0092B-C50C-407E-A947-70E740481C1C}">
                          <a14:useLocalDpi xmlns:a14="http://schemas.microsoft.com/office/drawing/2010/main" val="0"/>
                        </a:ext>
                      </a:extLst>
                    </a:blip>
                    <a:stretch>
                      <a:fillRect/>
                    </a:stretch>
                  </pic:blipFill>
                  <pic:spPr>
                    <a:xfrm>
                      <a:off x="0" y="0"/>
                      <a:ext cx="5731510" cy="3579495"/>
                    </a:xfrm>
                    <a:prstGeom prst="rect">
                      <a:avLst/>
                    </a:prstGeom>
                  </pic:spPr>
                </pic:pic>
              </a:graphicData>
            </a:graphic>
            <wp14:sizeRelH relativeFrom="page">
              <wp14:pctWidth>0</wp14:pctWidth>
            </wp14:sizeRelH>
            <wp14:sizeRelV relativeFrom="page">
              <wp14:pctHeight>0</wp14:pctHeight>
            </wp14:sizeRelV>
          </wp:anchor>
        </w:drawing>
      </w:r>
      <w:r w:rsidR="00080D1F" w:rsidRPr="00080D1F">
        <w:rPr>
          <w:lang w:val="en-US"/>
        </w:rPr>
        <w:t>The primary motivations to attend university for all rural and regional students focused on employment aspirations, including the desire to improve job prospects and career advancement. Those aged under 25 were somewhat more influenced by others, and wished to attain specific job skills.</w:t>
      </w:r>
    </w:p>
    <w:p w:rsidR="0037063A" w:rsidRDefault="0037063A" w:rsidP="0037063A">
      <w:pPr>
        <w:pStyle w:val="FigureTitles"/>
      </w:pPr>
      <w:r>
        <w:rPr>
          <w:rFonts w:eastAsia="Calibri"/>
          <w:b w:val="0"/>
          <w:sz w:val="24"/>
          <w:szCs w:val="22"/>
        </w:rPr>
        <w:br/>
      </w:r>
      <w:bookmarkStart w:id="65" w:name="_Toc517270594"/>
      <w:r>
        <w:t xml:space="preserve">Figure </w:t>
      </w:r>
      <w:fldSimple w:instr=" SEQ Figure \* ARABIC ">
        <w:r w:rsidR="00B00AA1">
          <w:rPr>
            <w:noProof/>
          </w:rPr>
          <w:t>20</w:t>
        </w:r>
      </w:fldSimple>
      <w:r>
        <w:t xml:space="preserve">: </w:t>
      </w:r>
      <w:r w:rsidRPr="002D0EAB">
        <w:t>Primary motivations to attend university</w:t>
      </w:r>
      <w:bookmarkEnd w:id="65"/>
    </w:p>
    <w:p w:rsidR="00990DA2" w:rsidRPr="00990DA2" w:rsidRDefault="00990DA2" w:rsidP="00990DA2">
      <w:pPr>
        <w:rPr>
          <w:lang w:val="en-US"/>
        </w:rPr>
      </w:pPr>
      <w:r>
        <w:rPr>
          <w:lang w:val="en-US"/>
        </w:rPr>
        <w:br/>
      </w:r>
      <w:r w:rsidRPr="00990DA2">
        <w:rPr>
          <w:lang w:val="en-US"/>
        </w:rPr>
        <w:t>In partial contrast to Fleming and Grace (2014), where it was suggested that regional parents have lower expectations than urban parents for their children to continue on with higher education, these results indicate that parental expectation for a number of remote communities is for the children to complete university. On closer analysis these remote communities can be clustered into groups that either have a major industry, such as Port Lincoln, or have relatively close proximity to a major industry hub. This data provides additional evidence to the previous suggestion that there appears to be an emerging emphasis on the role of higher education in some rural communities.</w:t>
      </w:r>
    </w:p>
    <w:p w:rsidR="00990DA2" w:rsidRPr="00990DA2" w:rsidRDefault="00990DA2" w:rsidP="00990DA2">
      <w:pPr>
        <w:rPr>
          <w:lang w:val="en-US"/>
        </w:rPr>
      </w:pPr>
      <w:r w:rsidRPr="00990DA2">
        <w:rPr>
          <w:lang w:val="en-US"/>
        </w:rPr>
        <w:t xml:space="preserve"> </w:t>
      </w:r>
    </w:p>
    <w:p w:rsidR="00990DA2" w:rsidRPr="00990DA2" w:rsidRDefault="00990DA2" w:rsidP="00990DA2">
      <w:pPr>
        <w:pStyle w:val="Heading2"/>
        <w:rPr>
          <w:lang w:val="en-US"/>
        </w:rPr>
      </w:pPr>
      <w:bookmarkStart w:id="66" w:name="_Toc517270343"/>
      <w:r>
        <w:rPr>
          <w:lang w:val="en-US"/>
        </w:rPr>
        <w:t xml:space="preserve">4.3 </w:t>
      </w:r>
      <w:r w:rsidRPr="00990DA2">
        <w:rPr>
          <w:lang w:val="en-US"/>
        </w:rPr>
        <w:t>Preparation</w:t>
      </w:r>
      <w:bookmarkEnd w:id="66"/>
    </w:p>
    <w:p w:rsidR="00990DA2" w:rsidRDefault="00990DA2" w:rsidP="00990DA2">
      <w:pPr>
        <w:rPr>
          <w:lang w:val="en-US"/>
        </w:rPr>
      </w:pPr>
      <w:r>
        <w:rPr>
          <w:noProof/>
          <w:lang w:eastAsia="en-AU"/>
        </w:rPr>
        <w:drawing>
          <wp:anchor distT="0" distB="0" distL="114300" distR="114300" simplePos="0" relativeHeight="251691008" behindDoc="0" locked="0" layoutInCell="1" allowOverlap="1">
            <wp:simplePos x="0" y="0"/>
            <wp:positionH relativeFrom="column">
              <wp:posOffset>0</wp:posOffset>
            </wp:positionH>
            <wp:positionV relativeFrom="paragraph">
              <wp:posOffset>1319530</wp:posOffset>
            </wp:positionV>
            <wp:extent cx="5731510" cy="2858770"/>
            <wp:effectExtent l="0" t="0" r="2540" b="0"/>
            <wp:wrapSquare wrapText="bothSides"/>
            <wp:docPr id="30" name="Picture 30" descr="Bar graph displaying the level of support for student decision to attend university (shown in percentages), split into under 25, and 25 and over." title="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k.jpg"/>
                    <pic:cNvPicPr/>
                  </pic:nvPicPr>
                  <pic:blipFill>
                    <a:blip r:embed="rId32">
                      <a:extLst>
                        <a:ext uri="{28A0092B-C50C-407E-A947-70E740481C1C}">
                          <a14:useLocalDpi xmlns:a14="http://schemas.microsoft.com/office/drawing/2010/main" val="0"/>
                        </a:ext>
                      </a:extLst>
                    </a:blip>
                    <a:stretch>
                      <a:fillRect/>
                    </a:stretch>
                  </pic:blipFill>
                  <pic:spPr>
                    <a:xfrm>
                      <a:off x="0" y="0"/>
                      <a:ext cx="5731510" cy="2858770"/>
                    </a:xfrm>
                    <a:prstGeom prst="rect">
                      <a:avLst/>
                    </a:prstGeom>
                  </pic:spPr>
                </pic:pic>
              </a:graphicData>
            </a:graphic>
            <wp14:sizeRelH relativeFrom="page">
              <wp14:pctWidth>0</wp14:pctWidth>
            </wp14:sizeRelH>
            <wp14:sizeRelV relativeFrom="page">
              <wp14:pctHeight>0</wp14:pctHeight>
            </wp14:sizeRelV>
          </wp:anchor>
        </w:drawing>
      </w:r>
      <w:r w:rsidRPr="00990DA2">
        <w:rPr>
          <w:lang w:val="en-US"/>
        </w:rPr>
        <w:t>In contrast with previous studies that have found that regional students feel a lack of encouragement in their aspirations of attending university (Fleming &amp; Grace 2014), the majority of participants (68%) in this study indicated that they felt extremely supported by their families. This was also confirmed by Bills (2014) and the data in Figure 6, which details the different levels of support experienced by regional students with regard to their decision to attend university.</w:t>
      </w:r>
    </w:p>
    <w:p w:rsidR="00990DA2" w:rsidRDefault="00990DA2" w:rsidP="00990DA2">
      <w:pPr>
        <w:pStyle w:val="FigureTitles"/>
      </w:pPr>
      <w:r>
        <w:rPr>
          <w:rFonts w:eastAsia="Calibri"/>
          <w:b w:val="0"/>
          <w:sz w:val="24"/>
          <w:szCs w:val="22"/>
        </w:rPr>
        <w:br/>
      </w:r>
      <w:bookmarkStart w:id="67" w:name="_Toc517270595"/>
      <w:r>
        <w:t xml:space="preserve">Figure </w:t>
      </w:r>
      <w:fldSimple w:instr=" SEQ Figure \* ARABIC ">
        <w:r w:rsidR="00B00AA1">
          <w:rPr>
            <w:noProof/>
          </w:rPr>
          <w:t>21</w:t>
        </w:r>
      </w:fldSimple>
      <w:r>
        <w:t xml:space="preserve">: </w:t>
      </w:r>
      <w:r w:rsidRPr="00E70941">
        <w:t>Level of support for student decision to attend university</w:t>
      </w:r>
      <w:bookmarkEnd w:id="67"/>
    </w:p>
    <w:p w:rsidR="00990DA2" w:rsidRPr="00990DA2" w:rsidRDefault="00990DA2" w:rsidP="00990DA2">
      <w:pPr>
        <w:rPr>
          <w:lang w:val="en-US"/>
        </w:rPr>
      </w:pPr>
      <w:r>
        <w:rPr>
          <w:lang w:val="en-US"/>
        </w:rPr>
        <w:br/>
      </w:r>
      <w:r w:rsidRPr="00990DA2">
        <w:rPr>
          <w:lang w:val="en-US"/>
        </w:rPr>
        <w:t>Of the 4% of respondents who indicated that they did not feel supported at all or only felt slightly supported, 78% were the first in their family to attend university, 95% were female and 39% were mature age students.</w:t>
      </w:r>
    </w:p>
    <w:p w:rsidR="00990DA2" w:rsidRPr="00990DA2" w:rsidRDefault="00990DA2" w:rsidP="00990DA2">
      <w:pPr>
        <w:rPr>
          <w:lang w:val="en-US"/>
        </w:rPr>
      </w:pPr>
      <w:r w:rsidRPr="00990DA2">
        <w:rPr>
          <w:lang w:val="en-US"/>
        </w:rPr>
        <w:t>With regard to preparing for university, respondents indicated varying levels of preparedness concerning the financial costs of going to university. While the majority indicated they were relatively well prepared, those aged under 25 were less well informed about the expenses that may be incurred for university study (see Figure 22).</w:t>
      </w:r>
    </w:p>
    <w:p w:rsidR="00990DA2" w:rsidRDefault="00BC062E" w:rsidP="00BC062E">
      <w:pPr>
        <w:pStyle w:val="FigureTitles"/>
      </w:pPr>
      <w:bookmarkStart w:id="68" w:name="_Toc517270596"/>
      <w:r>
        <w:rPr>
          <w:noProof/>
          <w:lang w:eastAsia="en-AU"/>
        </w:rPr>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5731510" cy="2628265"/>
            <wp:effectExtent l="0" t="0" r="2540" b="635"/>
            <wp:wrapSquare wrapText="bothSides"/>
            <wp:docPr id="31" name="Picture 31" descr="Bar graph displaying the level of preparedness of associated costs of attending university (shown in percentages), split into under 25, and 25 and over." title="Fig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2628265"/>
                    </a:xfrm>
                    <a:prstGeom prst="rect">
                      <a:avLst/>
                    </a:prstGeom>
                  </pic:spPr>
                </pic:pic>
              </a:graphicData>
            </a:graphic>
            <wp14:sizeRelH relativeFrom="page">
              <wp14:pctWidth>0</wp14:pctWidth>
            </wp14:sizeRelH>
            <wp14:sizeRelV relativeFrom="page">
              <wp14:pctHeight>0</wp14:pctHeight>
            </wp14:sizeRelV>
          </wp:anchor>
        </w:drawing>
      </w:r>
      <w:r>
        <w:br/>
        <w:t xml:space="preserve">Figure </w:t>
      </w:r>
      <w:fldSimple w:instr=" SEQ Figure \* ARABIC ">
        <w:r w:rsidR="00B00AA1">
          <w:rPr>
            <w:noProof/>
          </w:rPr>
          <w:t>22</w:t>
        </w:r>
      </w:fldSimple>
      <w:r>
        <w:t xml:space="preserve">: </w:t>
      </w:r>
      <w:r w:rsidRPr="004D0138">
        <w:t>Level of preparedness of associated costs of attending university</w:t>
      </w:r>
      <w:bookmarkEnd w:id="68"/>
    </w:p>
    <w:p w:rsidR="00BC062E" w:rsidRPr="00BC062E" w:rsidRDefault="0096639A" w:rsidP="00BC062E">
      <w:pPr>
        <w:rPr>
          <w:lang w:val="en-US"/>
        </w:rPr>
      </w:pPr>
      <w:r>
        <w:rPr>
          <w:noProof/>
          <w:lang w:eastAsia="en-AU"/>
        </w:rPr>
        <w:drawing>
          <wp:anchor distT="0" distB="0" distL="114300" distR="114300" simplePos="0" relativeHeight="251693056" behindDoc="0" locked="0" layoutInCell="1" allowOverlap="1">
            <wp:simplePos x="0" y="0"/>
            <wp:positionH relativeFrom="column">
              <wp:posOffset>133350</wp:posOffset>
            </wp:positionH>
            <wp:positionV relativeFrom="paragraph">
              <wp:posOffset>1741170</wp:posOffset>
            </wp:positionV>
            <wp:extent cx="5410200" cy="3609340"/>
            <wp:effectExtent l="0" t="0" r="0" b="0"/>
            <wp:wrapSquare wrapText="bothSides"/>
            <wp:docPr id="32" name="Picture 32" descr="Bar graph displaying the sources of information about the cost of attending university (shown in percentages), split into under 25, and 25 and over." title="Fig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jpg"/>
                    <pic:cNvPicPr/>
                  </pic:nvPicPr>
                  <pic:blipFill>
                    <a:blip r:embed="rId34">
                      <a:extLst>
                        <a:ext uri="{28A0092B-C50C-407E-A947-70E740481C1C}">
                          <a14:useLocalDpi xmlns:a14="http://schemas.microsoft.com/office/drawing/2010/main" val="0"/>
                        </a:ext>
                      </a:extLst>
                    </a:blip>
                    <a:stretch>
                      <a:fillRect/>
                    </a:stretch>
                  </pic:blipFill>
                  <pic:spPr>
                    <a:xfrm>
                      <a:off x="0" y="0"/>
                      <a:ext cx="5410200" cy="3609340"/>
                    </a:xfrm>
                    <a:prstGeom prst="rect">
                      <a:avLst/>
                    </a:prstGeom>
                  </pic:spPr>
                </pic:pic>
              </a:graphicData>
            </a:graphic>
            <wp14:sizeRelH relativeFrom="page">
              <wp14:pctWidth>0</wp14:pctWidth>
            </wp14:sizeRelH>
            <wp14:sizeRelV relativeFrom="page">
              <wp14:pctHeight>0</wp14:pctHeight>
            </wp14:sizeRelV>
          </wp:anchor>
        </w:drawing>
      </w:r>
      <w:r w:rsidR="00BC062E">
        <w:br/>
      </w:r>
      <w:r w:rsidR="00BC062E" w:rsidRPr="00BC062E">
        <w:rPr>
          <w:lang w:val="en-US"/>
        </w:rPr>
        <w:t>The sources of information used by students aged under 25 and those aged 25 and over regarding the costs of attending university were quite different (see Figure 23). The data reflects a natural reduction of the influence of school-based sources where a school would promote open days, host visits from university marketing personnel, and teachers would be able to advise those intending to go to university about the various expenses that may need to be considered. However, the importance of university websites for both groups was clearly highlighted.</w:t>
      </w:r>
    </w:p>
    <w:p w:rsidR="00BC062E" w:rsidRDefault="0096639A" w:rsidP="0096639A">
      <w:pPr>
        <w:pStyle w:val="FigureTitles"/>
      </w:pPr>
      <w:r>
        <w:rPr>
          <w:rFonts w:eastAsia="Calibri"/>
          <w:b w:val="0"/>
          <w:sz w:val="24"/>
          <w:szCs w:val="22"/>
        </w:rPr>
        <w:br/>
      </w:r>
      <w:bookmarkStart w:id="69" w:name="_Toc517270597"/>
      <w:r>
        <w:t xml:space="preserve">Figure </w:t>
      </w:r>
      <w:fldSimple w:instr=" SEQ Figure \* ARABIC ">
        <w:r w:rsidR="00B00AA1">
          <w:rPr>
            <w:noProof/>
          </w:rPr>
          <w:t>23</w:t>
        </w:r>
      </w:fldSimple>
      <w:r>
        <w:t xml:space="preserve">: </w:t>
      </w:r>
      <w:r w:rsidRPr="00027D5F">
        <w:t>Sources of information about the cost of attending university</w:t>
      </w:r>
      <w:bookmarkEnd w:id="69"/>
    </w:p>
    <w:p w:rsidR="008E7A84" w:rsidRDefault="008E7A84" w:rsidP="008E7A84">
      <w:r>
        <w:t>Approximately one-third (36%) of regional students report that they gathered information by visiting a campus prior to enrolling at the university. This additional expense incurred by regional students averaged $1303 per visit, with the average costs being, for accommodation $758, travel $166, and $379 on other associated expenses. These additional expenses add further financial disadvantage to regional and remote students not experienced by their urban counterparts.</w:t>
      </w:r>
    </w:p>
    <w:p w:rsidR="008E7A84" w:rsidRDefault="008E7A84" w:rsidP="008E7A84">
      <w:pPr>
        <w:pStyle w:val="Heading2"/>
      </w:pPr>
      <w:bookmarkStart w:id="70" w:name="_Toc517270344"/>
      <w:r>
        <w:t>4.4 Study Load and Mode</w:t>
      </w:r>
      <w:bookmarkEnd w:id="70"/>
    </w:p>
    <w:p w:rsidR="008E7A84" w:rsidRDefault="00AC4782" w:rsidP="008E7A84">
      <w:r>
        <w:rPr>
          <w:noProof/>
          <w:lang w:eastAsia="en-AU"/>
        </w:rPr>
        <w:drawing>
          <wp:anchor distT="0" distB="0" distL="114300" distR="114300" simplePos="0" relativeHeight="251694080" behindDoc="0" locked="0" layoutInCell="1" allowOverlap="1">
            <wp:simplePos x="0" y="0"/>
            <wp:positionH relativeFrom="column">
              <wp:posOffset>0</wp:posOffset>
            </wp:positionH>
            <wp:positionV relativeFrom="paragraph">
              <wp:posOffset>1492250</wp:posOffset>
            </wp:positionV>
            <wp:extent cx="5731510" cy="3434715"/>
            <wp:effectExtent l="0" t="0" r="2540" b="0"/>
            <wp:wrapSquare wrapText="bothSides"/>
            <wp:docPr id="34" name="Picture 34" descr="Bar graph displaying the reasons why regional and remote students study part-time (shown in percentages), split into under 25, and 25 and over." title="Fig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jpg"/>
                    <pic:cNvPicPr/>
                  </pic:nvPicPr>
                  <pic:blipFill>
                    <a:blip r:embed="rId35">
                      <a:extLst>
                        <a:ext uri="{28A0092B-C50C-407E-A947-70E740481C1C}">
                          <a14:useLocalDpi xmlns:a14="http://schemas.microsoft.com/office/drawing/2010/main" val="0"/>
                        </a:ext>
                      </a:extLst>
                    </a:blip>
                    <a:stretch>
                      <a:fillRect/>
                    </a:stretch>
                  </pic:blipFill>
                  <pic:spPr>
                    <a:xfrm>
                      <a:off x="0" y="0"/>
                      <a:ext cx="5731510" cy="3434715"/>
                    </a:xfrm>
                    <a:prstGeom prst="rect">
                      <a:avLst/>
                    </a:prstGeom>
                  </pic:spPr>
                </pic:pic>
              </a:graphicData>
            </a:graphic>
            <wp14:sizeRelH relativeFrom="page">
              <wp14:pctWidth>0</wp14:pctWidth>
            </wp14:sizeRelH>
            <wp14:sizeRelV relativeFrom="page">
              <wp14:pctHeight>0</wp14:pctHeight>
            </wp14:sizeRelV>
          </wp:anchor>
        </w:drawing>
      </w:r>
      <w:r w:rsidR="008E7A84">
        <w:t>A previous study has reported that students from regional and remote areas are more likely to study part time, in comparison to metropolitan students (Baik et al. 2015). However, findings from this study are broken down to more nuanced levels and make it clear that while this is generally true of those students aged over 25 who have mostly not relocated, it is not true of those aged under 25. Receiving Youth Allowance requires that students carry a full-time study load. Figure 24 outlines the range of financial and non-financial reasons why respondents choose to study part time.</w:t>
      </w:r>
    </w:p>
    <w:p w:rsidR="008E7A84" w:rsidRDefault="00AC4782" w:rsidP="00AC4782">
      <w:pPr>
        <w:pStyle w:val="FigureTitles"/>
      </w:pPr>
      <w:r>
        <w:rPr>
          <w:rFonts w:eastAsia="Calibri"/>
          <w:b w:val="0"/>
          <w:sz w:val="24"/>
          <w:szCs w:val="22"/>
        </w:rPr>
        <w:br/>
      </w:r>
      <w:bookmarkStart w:id="71" w:name="_Toc517270598"/>
      <w:r>
        <w:t xml:space="preserve">Figure </w:t>
      </w:r>
      <w:fldSimple w:instr=" SEQ Figure \* ARABIC ">
        <w:r w:rsidR="00B00AA1">
          <w:rPr>
            <w:noProof/>
          </w:rPr>
          <w:t>24</w:t>
        </w:r>
      </w:fldSimple>
      <w:r>
        <w:t xml:space="preserve">: </w:t>
      </w:r>
      <w:r w:rsidRPr="009366FC">
        <w:t>Reasons why regional and remote students study part-time</w:t>
      </w:r>
      <w:bookmarkEnd w:id="71"/>
    </w:p>
    <w:p w:rsidR="00AC4782" w:rsidRDefault="00AC4782" w:rsidP="00AC4782">
      <w:r>
        <w:t>Over half of the respondents who are currently studying part time and indicated they were previously enrolled full time, reduced their load due to: employment requirements (30%); family requirements (22%); financial challenges (14%); timetabling issues (9%); or mental/physical health issues (6%).</w:t>
      </w:r>
    </w:p>
    <w:p w:rsidR="00AC4782" w:rsidRDefault="00AC4782" w:rsidP="00AC4782">
      <w:r>
        <w:t>With regard to study mode, previous research indicates that mature age regional and remote students are more likely to complete external university studies (Richardson &amp; Friedman 2010). Results from this study indicate that 27% of respondents were completing their studies online, with the majority being aged over 25 years. Furthermore, 15% of regional students were completing their courses through mixed mode, including the necessity to regularly attend workshops held at a metropolitan campus. This represents a noticeably higher proportion of students travelling to attend compulsory classes, when compared with 7% of the overall university population previously reported as completing university through mixed mode (Bexley et al. 2013). This result suggests there is a subgroup of students required to deal with the financial burden of travel and accommodation to attend prerequisite face-to-face workshops at metropolitan campuses. Such costs are a hidden short-term financial cost that has not previously been identified in other research.</w:t>
      </w:r>
    </w:p>
    <w:p w:rsidR="00AC4782" w:rsidRDefault="00AC4782" w:rsidP="00AC4782">
      <w:r>
        <w:t xml:space="preserve">As universities and students continue to embrace technology-mediated learning options, the need to attend intensive workshops and seminars to engage in professional practice experiences is likely to increase in the future. Kemp and Norton (2014) in their </w:t>
      </w:r>
      <w:r w:rsidRPr="00B3546A">
        <w:rPr>
          <w:i/>
        </w:rPr>
        <w:t>Review of the Demand Driven Funding System</w:t>
      </w:r>
      <w:r>
        <w:t xml:space="preserve"> made the following observations.</w:t>
      </w:r>
    </w:p>
    <w:p w:rsidR="00AC4782" w:rsidRDefault="00AC4782" w:rsidP="00AC4782">
      <w:pPr>
        <w:pStyle w:val="Quote"/>
        <w:rPr>
          <w:i w:val="0"/>
        </w:rPr>
      </w:pPr>
      <w:r>
        <w:t>Despite improved student numbers at regional campuses, it is unlikely that the demand driven system will transform the economics of higher education in smaller regional centres. … Regional campuses can rarely match the range of courses and subjects or the campus life of major city universities. Smaller regional centre campuses compete on convenience and lower total study costs, by removing the need to move or travel long distances. However, in this convenience market, they face competition from improved and growing online provision.</w:t>
      </w:r>
      <w:r w:rsidRPr="00AC4782">
        <w:rPr>
          <w:i w:val="0"/>
        </w:rPr>
        <w:t xml:space="preserve"> (p. 41)</w:t>
      </w:r>
    </w:p>
    <w:p w:rsidR="00AC4782" w:rsidRDefault="00AC4782" w:rsidP="00AC4782">
      <w:r>
        <w:t>Digital learning options may mean that students can study their preferred courses online, but the need to meet professional accreditation experiential learning requirements is likely to generate short-term rather than long-term relocation challenges. These challenges would be for periods of days each semester, rather than weeks (as required for placement activities) with the need for childcare, accommodation, transport and meals away from home. Income from employment may also be forfeited during these short stays away from home, exacerbating the financial burden.</w:t>
      </w:r>
    </w:p>
    <w:p w:rsidR="00AC4782" w:rsidRDefault="00AC4782" w:rsidP="00AC4782">
      <w:pPr>
        <w:ind w:left="720"/>
      </w:pPr>
      <w:r w:rsidRPr="00AC4782">
        <w:rPr>
          <w:b/>
        </w:rPr>
        <w:t>Recommendation 5</w:t>
      </w:r>
      <w:r>
        <w:br/>
        <w:t>Universities to consider the most efficient process for regional students attending professional practice workshops.</w:t>
      </w:r>
    </w:p>
    <w:p w:rsidR="00AC4782" w:rsidRDefault="00AC4782" w:rsidP="00AC4782">
      <w:r>
        <w:t>For Olivia, the decision to commence her Midwifery course was based on the convenience of the course being offered as mixed mode, as relocating to Adelaide was not a viable option, for various personal and emotional reasons.</w:t>
      </w:r>
    </w:p>
    <w:p w:rsidR="00AC4782" w:rsidRDefault="00AC4782" w:rsidP="00AC4782">
      <w:pPr>
        <w:pStyle w:val="Quote"/>
      </w:pPr>
      <w:r>
        <w:t xml:space="preserve">I had other preferences, but they involved moving to Adelaide ... so Midwifery was my first preference studying from external studies (doing it from home), emotionally I wasn’t ready to move to Adelaide ... the commitments with my family and my partner, I wasn’t ready to move to Adelaide. </w:t>
      </w:r>
      <w:r w:rsidRPr="00AC4782">
        <w:rPr>
          <w:i w:val="0"/>
        </w:rPr>
        <w:t>Olivia</w:t>
      </w:r>
    </w:p>
    <w:p w:rsidR="00AC4782" w:rsidRDefault="00AC4782" w:rsidP="00AC4782">
      <w:r>
        <w:t>Despite not being required to relocate to Adelaide, studying mixed mode can contribute its own unique set of financial difficulties associated with attending metropolitan workshops.</w:t>
      </w:r>
    </w:p>
    <w:p w:rsidR="00AC4782" w:rsidRDefault="00AC4782" w:rsidP="00AC4782">
      <w:pPr>
        <w:pStyle w:val="Quote"/>
        <w:rPr>
          <w:i w:val="0"/>
        </w:rPr>
      </w:pPr>
      <w:r>
        <w:t xml:space="preserve">I find that when they say, ‘can you be in the city on this state’ that it’s a massive drive for you to get there. It’s not a simple task to just pack up the car and go to the city for a week. I mean it’s going to cost me $1000 in accommodation next week plus the fact that I have to allow for a day to get there and a day to get home. It’s things like that ... like this last workshop that I did said, ‘oh yeah, but it’s only an hour by plane’, and it is to other major cities but when you live out here in the country ... no matter which way I’d gone ... if I’d flown then it’s an hour’s drive to Mount Gambier then an hour on the plane, and then I’d have to find a way to get from the airport to the uni. If I’d chosen to fly out of Melbourne it’s four to five hours to Melbourne and then fly. I think they need to factor that into their workshops. The next one we don’t finish until one o’clock in the afternoon, so I’ve gotta either stay an extra night in Adelaide or drive back here which is roo country. So, the chances of me hitting a roo coming home are quite high. I dunno, I just think it needs to be factored in that we are a long way ... and I’m not just looking at this area. I know some of the other girls had three to four hour drives because they live on the other side of Adelaide. </w:t>
      </w:r>
      <w:r w:rsidRPr="00AC4782">
        <w:rPr>
          <w:i w:val="0"/>
        </w:rPr>
        <w:t>Emily</w:t>
      </w:r>
    </w:p>
    <w:p w:rsidR="00AC4782" w:rsidRPr="00AC4782" w:rsidRDefault="00AC4782" w:rsidP="00AC4782">
      <w:pPr>
        <w:rPr>
          <w:lang w:val="en-US"/>
        </w:rPr>
      </w:pPr>
      <w:r w:rsidRPr="00AC4782">
        <w:rPr>
          <w:lang w:val="en-US"/>
        </w:rPr>
        <w:t>Discussions in the interviews identified one possible solution that would assist overcoming some of the challenges associated with campus visits.</w:t>
      </w:r>
    </w:p>
    <w:p w:rsidR="00AC4782" w:rsidRPr="00AC4782" w:rsidRDefault="00AC4782" w:rsidP="00AC4782">
      <w:pPr>
        <w:pStyle w:val="Quote"/>
        <w:rPr>
          <w:lang w:val="en-US"/>
        </w:rPr>
      </w:pPr>
      <w:r w:rsidRPr="00AC4782">
        <w:rPr>
          <w:lang w:val="en-US"/>
        </w:rPr>
        <w:t>… organise deals with local hotels or caravan parks so that students can stay there at a discounted rate ... I rang the uni and said, ‘where’s the best place to stay?’ thinking that they might have, and she said, ‘wherever you want’… I was quite surprised that they hadn’t factored that in. That okay we’ve got three weeks of students coming so let’s go approach this motel and say, ‘what deal can you offer the students?’</w:t>
      </w:r>
      <w:r w:rsidRPr="00AC4782">
        <w:rPr>
          <w:i w:val="0"/>
          <w:lang w:val="en-US"/>
        </w:rPr>
        <w:t xml:space="preserve"> Emily</w:t>
      </w:r>
    </w:p>
    <w:p w:rsidR="00AC4782" w:rsidRDefault="00AC4782" w:rsidP="00AC4782">
      <w:pPr>
        <w:pStyle w:val="Heading2"/>
      </w:pPr>
      <w:bookmarkStart w:id="72" w:name="_Toc517270345"/>
      <w:r>
        <w:t>4.5 Campus Location</w:t>
      </w:r>
      <w:bookmarkEnd w:id="72"/>
    </w:p>
    <w:p w:rsidR="00AC4782" w:rsidRPr="00AC4782" w:rsidRDefault="00AC4782" w:rsidP="00AC4782">
      <w:pPr>
        <w:rPr>
          <w:lang w:val="en-US"/>
        </w:rPr>
      </w:pPr>
      <w:r w:rsidRPr="00AC4782">
        <w:rPr>
          <w:lang w:val="en-US"/>
        </w:rPr>
        <w:t>The underrepresentation of regional and rural students in higher education continues to exist despite participation initiatives. Kemp and Norton (2014) report that the regional plus remote student enrolment share of total undergraduate student enrolments across Australia has been around 19% and 20% for the last 10 years. ‘Since the demand driven system was announced, annual enrolment growth rates for students from regional and remote areas have increased. This suggests that the participation rate is also increasing. However, there is no clear improvement in their enrolment share. This is because enrolments from students in the major metropolitan areas are increasing at a similar rate.’ (Kemp &amp; Norton 2014, p. 41)</w:t>
      </w:r>
    </w:p>
    <w:p w:rsidR="00AC4782" w:rsidRPr="00AC4782" w:rsidRDefault="00AC4782" w:rsidP="00AC4782">
      <w:pPr>
        <w:rPr>
          <w:lang w:val="en-US"/>
        </w:rPr>
      </w:pPr>
      <w:r w:rsidRPr="00AC4782">
        <w:rPr>
          <w:lang w:val="en-US"/>
        </w:rPr>
        <w:t>Data shows that 82% of respondents aged under 25 relocated and only 10.8% of students aged 25 and over relocated. This demonstrates data collection that generalises across these age groups for regional students, thus reducing the opportunity to understand the specific influences and challenges that may apply to the two distinct groups.</w:t>
      </w:r>
    </w:p>
    <w:p w:rsidR="00AC4782" w:rsidRDefault="00AC4782" w:rsidP="00AC4782">
      <w:pPr>
        <w:rPr>
          <w:lang w:val="en-US"/>
        </w:rPr>
      </w:pPr>
      <w:r w:rsidRPr="00AC4782">
        <w:rPr>
          <w:lang w:val="en-US"/>
        </w:rPr>
        <w:t>For regional students who relocated to study at a metropolitan campus, 86% of respondents indicated that course availability was a predominant factor. Employment opportunities (8%), social reasons (3%) and family reasons (4%) played a less significant role in student decisions to relocate (Figure 25).</w:t>
      </w:r>
    </w:p>
    <w:p w:rsidR="009F6299" w:rsidRDefault="009F6299" w:rsidP="009F6299">
      <w:pPr>
        <w:keepNext/>
      </w:pPr>
      <w:r>
        <w:rPr>
          <w:noProof/>
          <w:lang w:eastAsia="en-AU"/>
        </w:rPr>
        <w:drawing>
          <wp:inline distT="0" distB="0" distL="0" distR="0">
            <wp:extent cx="5731510" cy="2882900"/>
            <wp:effectExtent l="0" t="0" r="2540" b="0"/>
            <wp:docPr id="35" name="Picture 35" descr="Bar graph displaying the reasons students elect to study at a metropolitan campus (shown in percentages), split into 25 and over, and under 25." title="Fig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jpg"/>
                    <pic:cNvPicPr/>
                  </pic:nvPicPr>
                  <pic:blipFill>
                    <a:blip r:embed="rId36">
                      <a:extLst>
                        <a:ext uri="{28A0092B-C50C-407E-A947-70E740481C1C}">
                          <a14:useLocalDpi xmlns:a14="http://schemas.microsoft.com/office/drawing/2010/main" val="0"/>
                        </a:ext>
                      </a:extLst>
                    </a:blip>
                    <a:stretch>
                      <a:fillRect/>
                    </a:stretch>
                  </pic:blipFill>
                  <pic:spPr>
                    <a:xfrm>
                      <a:off x="0" y="0"/>
                      <a:ext cx="5731510" cy="2882900"/>
                    </a:xfrm>
                    <a:prstGeom prst="rect">
                      <a:avLst/>
                    </a:prstGeom>
                  </pic:spPr>
                </pic:pic>
              </a:graphicData>
            </a:graphic>
          </wp:inline>
        </w:drawing>
      </w:r>
    </w:p>
    <w:p w:rsidR="009F6299" w:rsidRDefault="009F6299" w:rsidP="009F6299">
      <w:pPr>
        <w:pStyle w:val="FigureTitles"/>
      </w:pPr>
      <w:bookmarkStart w:id="73" w:name="_Toc517270599"/>
      <w:r>
        <w:t xml:space="preserve">Figure </w:t>
      </w:r>
      <w:fldSimple w:instr=" SEQ Figure \* ARABIC ">
        <w:r w:rsidR="00B00AA1">
          <w:rPr>
            <w:noProof/>
          </w:rPr>
          <w:t>25</w:t>
        </w:r>
      </w:fldSimple>
      <w:r>
        <w:t xml:space="preserve">: </w:t>
      </w:r>
      <w:r w:rsidRPr="002A557C">
        <w:t>Reasons students elect to study at a metropolitan campus</w:t>
      </w:r>
      <w:bookmarkEnd w:id="73"/>
    </w:p>
    <w:p w:rsidR="009F6299" w:rsidRPr="009F6299" w:rsidRDefault="009F6299" w:rsidP="009F6299">
      <w:pPr>
        <w:rPr>
          <w:lang w:val="en-US"/>
        </w:rPr>
      </w:pPr>
      <w:r>
        <w:rPr>
          <w:lang w:val="en-US"/>
        </w:rPr>
        <w:br/>
      </w:r>
      <w:r w:rsidRPr="009F6299">
        <w:rPr>
          <w:lang w:val="en-US"/>
        </w:rPr>
        <w:t>Whilst Karen relocated to the city to study, had the course been available at a regional campus her preference would have been to remain in her hometown.</w:t>
      </w:r>
    </w:p>
    <w:p w:rsidR="009F6299" w:rsidRPr="009F6299" w:rsidRDefault="009F6299" w:rsidP="009F6299">
      <w:pPr>
        <w:pStyle w:val="Quote"/>
        <w:rPr>
          <w:lang w:val="en-US"/>
        </w:rPr>
      </w:pPr>
      <w:r w:rsidRPr="009F6299">
        <w:rPr>
          <w:lang w:val="en-US"/>
        </w:rPr>
        <w:t xml:space="preserve">Yeah, even if it was [regional campus] I would’ve preferred that than move all the way here ... because I know they have a campus there. I would rather just go up there for a few days because it’s only a two to three hour drive and living at home and having financial support there rather than all the way over in Adelaide. </w:t>
      </w:r>
      <w:r w:rsidRPr="009F6299">
        <w:rPr>
          <w:i w:val="0"/>
          <w:lang w:val="en-US"/>
        </w:rPr>
        <w:t>Karen</w:t>
      </w:r>
    </w:p>
    <w:p w:rsidR="009F6299" w:rsidRPr="009F6299" w:rsidRDefault="009F6299" w:rsidP="009F6299">
      <w:pPr>
        <w:rPr>
          <w:lang w:val="en-US"/>
        </w:rPr>
      </w:pPr>
      <w:r w:rsidRPr="009F6299">
        <w:rPr>
          <w:lang w:val="en-US"/>
        </w:rPr>
        <w:t>The proportion of respondents studying at regional campuses (n=74) who were aged under 25 was 47% compared with 53% of respondents who were aged 25 and over. This generally reflects the standard student demographic at both UniSA regional campuses of an older student population. The gender of survey respondents studying at regional campuses is also in general alignment with regional demographic data, that is, predominately female (80–85%, n=61). Interestingly, of those studying at regional campuses only 6% indicated they were studying locally because they could not afford to relocate, with 80% indicating that the availability of their desired course locally contributed to their choice of studying locally. This is somewhat misleading, as those who could not afford to relocate and did not have a program of choice locally available would not have been surveyed.</w:t>
      </w:r>
    </w:p>
    <w:p w:rsidR="009F6299" w:rsidRPr="009F6299" w:rsidRDefault="009F6299" w:rsidP="009F6299">
      <w:pPr>
        <w:rPr>
          <w:lang w:val="en-US"/>
        </w:rPr>
      </w:pPr>
      <w:r w:rsidRPr="009F6299">
        <w:rPr>
          <w:lang w:val="en-US"/>
        </w:rPr>
        <w:t>Evidence from Polesel and Klatt (2014) suggests that for deferring students that were not captured within this survey</w:t>
      </w:r>
    </w:p>
    <w:p w:rsidR="009F6299" w:rsidRDefault="009F6299" w:rsidP="009F6299">
      <w:pPr>
        <w:pStyle w:val="Quote"/>
        <w:rPr>
          <w:i w:val="0"/>
          <w:lang w:val="en-US"/>
        </w:rPr>
      </w:pPr>
      <w:r w:rsidRPr="009F6299">
        <w:rPr>
          <w:lang w:val="en-US"/>
        </w:rPr>
        <w:t>non-metropolitan deferrers were twice as likely to nominate the lack of courses in their local area and three times more likley to nominate the burden of leaving home as reasons for not attending university.</w:t>
      </w:r>
      <w:r w:rsidRPr="009F6299">
        <w:rPr>
          <w:i w:val="0"/>
          <w:lang w:val="en-US"/>
        </w:rPr>
        <w:t xml:space="preserve"> (p. 190)</w:t>
      </w:r>
    </w:p>
    <w:p w:rsidR="009F6299" w:rsidRDefault="009F6299" w:rsidP="009F6299">
      <w:pPr>
        <w:rPr>
          <w:lang w:val="en-US"/>
        </w:rPr>
      </w:pPr>
      <w:r w:rsidRPr="009F6299">
        <w:rPr>
          <w:lang w:val="en-US"/>
        </w:rPr>
        <w:t>The program options available on regional campuses at UniSA are currently not extensive, with Nursing, Social Work, Education (Early Childhood), Education (Primary), Mechanical Enginering and</w:t>
      </w:r>
      <w:r>
        <w:rPr>
          <w:lang w:val="en-US"/>
        </w:rPr>
        <w:t xml:space="preserve"> </w:t>
      </w:r>
      <w:r w:rsidRPr="009F6299">
        <w:rPr>
          <w:lang w:val="en-US"/>
        </w:rPr>
        <w:t xml:space="preserve">Foundation Studies being offered, programs which tend to attract female students. The reasons why students elect to study at a regional campus are detailed in </w:t>
      </w:r>
      <w:r>
        <w:rPr>
          <w:noProof/>
          <w:lang w:eastAsia="en-AU"/>
        </w:rPr>
        <w:drawing>
          <wp:anchor distT="0" distB="0" distL="114300" distR="114300" simplePos="0" relativeHeight="251695104" behindDoc="0" locked="0" layoutInCell="1" allowOverlap="1">
            <wp:simplePos x="0" y="0"/>
            <wp:positionH relativeFrom="column">
              <wp:posOffset>0</wp:posOffset>
            </wp:positionH>
            <wp:positionV relativeFrom="paragraph">
              <wp:posOffset>619125</wp:posOffset>
            </wp:positionV>
            <wp:extent cx="5731510" cy="3451225"/>
            <wp:effectExtent l="0" t="0" r="2540" b="0"/>
            <wp:wrapSquare wrapText="bothSides"/>
            <wp:docPr id="36" name="Picture 36" descr="Bar graph displaying the reason students elect to study at a regional campus (shown in percentages), split into under 25, and 25 and over." title="Fig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jpg"/>
                    <pic:cNvPicPr/>
                  </pic:nvPicPr>
                  <pic:blipFill>
                    <a:blip r:embed="rId37">
                      <a:extLst>
                        <a:ext uri="{28A0092B-C50C-407E-A947-70E740481C1C}">
                          <a14:useLocalDpi xmlns:a14="http://schemas.microsoft.com/office/drawing/2010/main" val="0"/>
                        </a:ext>
                      </a:extLst>
                    </a:blip>
                    <a:stretch>
                      <a:fillRect/>
                    </a:stretch>
                  </pic:blipFill>
                  <pic:spPr>
                    <a:xfrm>
                      <a:off x="0" y="0"/>
                      <a:ext cx="5731510" cy="3451225"/>
                    </a:xfrm>
                    <a:prstGeom prst="rect">
                      <a:avLst/>
                    </a:prstGeom>
                  </pic:spPr>
                </pic:pic>
              </a:graphicData>
            </a:graphic>
            <wp14:sizeRelH relativeFrom="page">
              <wp14:pctWidth>0</wp14:pctWidth>
            </wp14:sizeRelH>
            <wp14:sizeRelV relativeFrom="page">
              <wp14:pctHeight>0</wp14:pctHeight>
            </wp14:sizeRelV>
          </wp:anchor>
        </w:drawing>
      </w:r>
      <w:r w:rsidRPr="009F6299">
        <w:rPr>
          <w:lang w:val="en-US"/>
        </w:rPr>
        <w:t>Figure 26.</w:t>
      </w:r>
    </w:p>
    <w:p w:rsidR="009F6299" w:rsidRDefault="009F6299" w:rsidP="009F6299">
      <w:pPr>
        <w:pStyle w:val="FigureTitles"/>
      </w:pPr>
      <w:r>
        <w:rPr>
          <w:rFonts w:eastAsia="Calibri"/>
          <w:b w:val="0"/>
          <w:sz w:val="24"/>
          <w:szCs w:val="22"/>
        </w:rPr>
        <w:br/>
      </w:r>
      <w:bookmarkStart w:id="74" w:name="_Toc517270600"/>
      <w:r>
        <w:t xml:space="preserve">Figure </w:t>
      </w:r>
      <w:fldSimple w:instr=" SEQ Figure \* ARABIC ">
        <w:r w:rsidR="00B00AA1">
          <w:rPr>
            <w:noProof/>
          </w:rPr>
          <w:t>26</w:t>
        </w:r>
      </w:fldSimple>
      <w:r>
        <w:t xml:space="preserve">: </w:t>
      </w:r>
      <w:r w:rsidRPr="009A513B">
        <w:t>Reasons students elect to study at a regional campus</w:t>
      </w:r>
      <w:bookmarkEnd w:id="74"/>
    </w:p>
    <w:p w:rsidR="009F6299" w:rsidRDefault="000B295E" w:rsidP="000B295E">
      <w:pPr>
        <w:pStyle w:val="Heading2"/>
        <w:rPr>
          <w:lang w:val="en-US"/>
        </w:rPr>
      </w:pPr>
      <w:r>
        <w:rPr>
          <w:lang w:val="en-US"/>
        </w:rPr>
        <w:br/>
      </w:r>
      <w:bookmarkStart w:id="75" w:name="_Toc517270346"/>
      <w:r>
        <w:rPr>
          <w:lang w:val="en-US"/>
        </w:rPr>
        <w:t>4.6 Course Placements</w:t>
      </w:r>
      <w:bookmarkEnd w:id="75"/>
    </w:p>
    <w:p w:rsidR="000B295E" w:rsidRDefault="000B295E" w:rsidP="009F6299">
      <w:pPr>
        <w:rPr>
          <w:lang w:val="en-US"/>
        </w:rPr>
      </w:pPr>
      <w:r w:rsidRPr="000B295E">
        <w:rPr>
          <w:lang w:val="en-US"/>
        </w:rPr>
        <w:t>In addition to the other financial impacts of university study, 35% of respondents indicated being required to temporarily relocate for the purposes of completing professional placements. In findings similar to those of Bills (2012), respondents indicated that they felt disadvantaged as a result of having to relocate for a placement, as a result of the associated financial outlay and increased stress. Figure 27 identifies different factors that present the most challenges associated with placements.</w:t>
      </w:r>
    </w:p>
    <w:p w:rsidR="000B295E" w:rsidRDefault="000B295E" w:rsidP="000B295E">
      <w:pPr>
        <w:keepNext/>
      </w:pPr>
      <w:r>
        <w:rPr>
          <w:noProof/>
          <w:lang w:eastAsia="en-AU"/>
        </w:rPr>
        <w:drawing>
          <wp:inline distT="0" distB="0" distL="0" distR="0">
            <wp:extent cx="5731510" cy="3127375"/>
            <wp:effectExtent l="0" t="0" r="2540" b="0"/>
            <wp:docPr id="37" name="Picture 37" descr="Bar graph displaying the challenges associated with relocating to complete professional placement (shown in percentages), split into under 25, and 25 and over." title="Fig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q.jpg"/>
                    <pic:cNvPicPr/>
                  </pic:nvPicPr>
                  <pic:blipFill>
                    <a:blip r:embed="rId38">
                      <a:extLst>
                        <a:ext uri="{28A0092B-C50C-407E-A947-70E740481C1C}">
                          <a14:useLocalDpi xmlns:a14="http://schemas.microsoft.com/office/drawing/2010/main" val="0"/>
                        </a:ext>
                      </a:extLst>
                    </a:blip>
                    <a:stretch>
                      <a:fillRect/>
                    </a:stretch>
                  </pic:blipFill>
                  <pic:spPr>
                    <a:xfrm>
                      <a:off x="0" y="0"/>
                      <a:ext cx="5731510" cy="3127375"/>
                    </a:xfrm>
                    <a:prstGeom prst="rect">
                      <a:avLst/>
                    </a:prstGeom>
                  </pic:spPr>
                </pic:pic>
              </a:graphicData>
            </a:graphic>
          </wp:inline>
        </w:drawing>
      </w:r>
    </w:p>
    <w:p w:rsidR="000B295E" w:rsidRDefault="000B295E" w:rsidP="000B295E">
      <w:pPr>
        <w:pStyle w:val="FigureTitles"/>
      </w:pPr>
      <w:bookmarkStart w:id="76" w:name="_Toc517270601"/>
      <w:r>
        <w:t xml:space="preserve">Figure </w:t>
      </w:r>
      <w:fldSimple w:instr=" SEQ Figure \* ARABIC ">
        <w:r w:rsidR="00B00AA1">
          <w:rPr>
            <w:noProof/>
          </w:rPr>
          <w:t>27</w:t>
        </w:r>
      </w:fldSimple>
      <w:r>
        <w:t xml:space="preserve">: </w:t>
      </w:r>
      <w:r w:rsidRPr="000856A7">
        <w:t>Challenges associated with relocating to complete professional placement</w:t>
      </w:r>
      <w:bookmarkEnd w:id="76"/>
    </w:p>
    <w:p w:rsidR="000B295E" w:rsidRPr="000B295E" w:rsidRDefault="000B295E" w:rsidP="000B295E">
      <w:pPr>
        <w:rPr>
          <w:lang w:val="en-US"/>
        </w:rPr>
      </w:pPr>
      <w:r>
        <w:rPr>
          <w:lang w:val="en-US"/>
        </w:rPr>
        <w:br/>
      </w:r>
      <w:r w:rsidRPr="000B295E">
        <w:rPr>
          <w:lang w:val="en-US"/>
        </w:rPr>
        <w:t>Of the most concern to regional students is the requirement to meet the associated costs of placement, which may include paying rent for two separate homes. The issue of accommodation appears to affect both regional students who have relocated to Adelaide, as well as those studying externally and who may be required to complete placement in a metropolitan location.</w:t>
      </w:r>
    </w:p>
    <w:p w:rsidR="000B295E" w:rsidRPr="000B295E" w:rsidRDefault="000B295E" w:rsidP="000B295E">
      <w:pPr>
        <w:pStyle w:val="Quote"/>
        <w:rPr>
          <w:lang w:val="en-US"/>
        </w:rPr>
      </w:pPr>
      <w:r w:rsidRPr="000B295E">
        <w:rPr>
          <w:lang w:val="en-US"/>
        </w:rPr>
        <w:t>I’m becoming increasingly concerned because I can’t possibly afford to do 14 weeks in Adelaide ... I can’t afford that accommodation when I have</w:t>
      </w:r>
      <w:r>
        <w:rPr>
          <w:lang w:val="en-US"/>
        </w:rPr>
        <w:t xml:space="preserve"> four weeks at a time. </w:t>
      </w:r>
      <w:r w:rsidRPr="000B295E">
        <w:rPr>
          <w:i w:val="0"/>
          <w:lang w:val="en-US"/>
        </w:rPr>
        <w:t>Olivia</w:t>
      </w:r>
    </w:p>
    <w:p w:rsidR="000B295E" w:rsidRPr="000B295E" w:rsidRDefault="000B295E" w:rsidP="000B295E">
      <w:pPr>
        <w:pStyle w:val="Quote"/>
        <w:rPr>
          <w:lang w:val="en-US"/>
        </w:rPr>
      </w:pPr>
      <w:r w:rsidRPr="000B295E">
        <w:rPr>
          <w:lang w:val="en-US"/>
        </w:rPr>
        <w:t xml:space="preserve">I’ve made special arrangements to cater me being a country student ... otherwise there’s no point me trying to rent two places, but I was lucky enough to be able to do two days a week and then that’ll slowly eat into my days required … Some of them couldn’t be flexible and I had to decline ... I just couldn’t do it because I needed the financial backing [from working] for when I come back to Adelaide. </w:t>
      </w:r>
      <w:r w:rsidRPr="000B295E">
        <w:rPr>
          <w:i w:val="0"/>
          <w:lang w:val="en-US"/>
        </w:rPr>
        <w:t>Daniel</w:t>
      </w:r>
    </w:p>
    <w:p w:rsidR="000B295E" w:rsidRPr="000B295E" w:rsidRDefault="000B295E" w:rsidP="000B295E">
      <w:pPr>
        <w:rPr>
          <w:lang w:val="en-US"/>
        </w:rPr>
      </w:pPr>
      <w:r w:rsidRPr="000B295E">
        <w:rPr>
          <w:lang w:val="en-US"/>
        </w:rPr>
        <w:t>A repeated theme discussed by students who were either studying at a regional campus or online, was the lack of available financial support to relocate for the purposes of completing placement.</w:t>
      </w:r>
    </w:p>
    <w:p w:rsidR="000B295E" w:rsidRPr="000B295E" w:rsidRDefault="000B295E" w:rsidP="000B295E">
      <w:pPr>
        <w:pStyle w:val="Quote"/>
        <w:rPr>
          <w:lang w:val="en-US"/>
        </w:rPr>
      </w:pPr>
      <w:r w:rsidRPr="000B295E">
        <w:rPr>
          <w:lang w:val="en-US"/>
        </w:rPr>
        <w:t xml:space="preserve">When they have students that live a distance away from where they have to travel to placement then they should be thinking about financial grants or financial assistance, and it shouldn’t be about whether or not you’re the highest scoring student or you meet a specific criteria. It should be ... if you have to go that far then they will help us do that for that period of time. </w:t>
      </w:r>
      <w:r w:rsidRPr="000B295E">
        <w:rPr>
          <w:i w:val="0"/>
          <w:lang w:val="en-US"/>
        </w:rPr>
        <w:t>Ava</w:t>
      </w:r>
    </w:p>
    <w:p w:rsidR="000B295E" w:rsidRPr="000B295E" w:rsidRDefault="000B295E" w:rsidP="000B295E">
      <w:pPr>
        <w:rPr>
          <w:lang w:val="en-US"/>
        </w:rPr>
      </w:pPr>
      <w:r w:rsidRPr="000B295E">
        <w:rPr>
          <w:lang w:val="en-US"/>
        </w:rPr>
        <w:t>Furthermore, students recognised that information regarding available scholarships such as placement grants was provided at some stage; however, students suggested that this type of</w:t>
      </w:r>
      <w:r>
        <w:rPr>
          <w:lang w:val="en-US"/>
        </w:rPr>
        <w:t xml:space="preserve"> </w:t>
      </w:r>
      <w:r w:rsidRPr="000B295E">
        <w:rPr>
          <w:lang w:val="en-US"/>
        </w:rPr>
        <w:t>information needs to be repeated and provided in more relevant time frames to ensure students actually receive and can action these types of messages in a timely manner.</w:t>
      </w:r>
    </w:p>
    <w:p w:rsidR="000B295E" w:rsidRDefault="000B295E" w:rsidP="000B295E">
      <w:pPr>
        <w:pStyle w:val="Quote"/>
        <w:rPr>
          <w:i w:val="0"/>
          <w:lang w:val="en-US"/>
        </w:rPr>
      </w:pPr>
      <w:r w:rsidRPr="000B295E">
        <w:rPr>
          <w:lang w:val="en-US"/>
        </w:rPr>
        <w:t xml:space="preserve">In terms of the University, they sort of mentioned about scholarships but didn’t really go much into depth. I think for rural and regional students then they need to make it more concise and clear. I understand that the information is out there ... it’s just a matter of going out and looking for it, but if you’re a first year student moving from the country to the city then you definitely need it in your face. </w:t>
      </w:r>
      <w:r w:rsidRPr="000B295E">
        <w:rPr>
          <w:i w:val="0"/>
          <w:lang w:val="en-US"/>
        </w:rPr>
        <w:t>Lily</w:t>
      </w:r>
    </w:p>
    <w:p w:rsidR="000B295E" w:rsidRDefault="000B295E" w:rsidP="000B295E">
      <w:pPr>
        <w:pStyle w:val="Heading2"/>
        <w:rPr>
          <w:lang w:val="en-US"/>
        </w:rPr>
      </w:pPr>
      <w:bookmarkStart w:id="77" w:name="_Toc517270347"/>
      <w:r>
        <w:rPr>
          <w:lang w:val="en-US"/>
        </w:rPr>
        <w:t>4.7 Deferrals/Withdrawals</w:t>
      </w:r>
      <w:bookmarkEnd w:id="77"/>
    </w:p>
    <w:p w:rsidR="00B00AA1" w:rsidRPr="00B00AA1" w:rsidRDefault="00B00AA1" w:rsidP="00B00AA1">
      <w:pPr>
        <w:rPr>
          <w:lang w:val="en-US"/>
        </w:rPr>
      </w:pPr>
      <w:r w:rsidRPr="00B00AA1">
        <w:rPr>
          <w:lang w:val="en-US"/>
        </w:rPr>
        <w:t>Whilst the decision to pursue higher education is a significant decision for a majority of regional and remote students, when to commence the journey and whether to stay once studies have commenced represent additional decisions confronting students. Taking a ‘gap year’, a one to two year break between finishing school and commencing university, is becoming increasingly popular with students (van Reyk 2012). A number of studies indicate that the reason regional and rural students take a gap year differs from those of their metropolitan counter parts, and is predominantly focused on financial reasons including saving in preparation of university or for Youth Allowance eligibility (Harvey et al. 2012; Polesel &amp; Klatt 2014; van Reyk 2012).</w:t>
      </w:r>
    </w:p>
    <w:p w:rsidR="00B00AA1" w:rsidRPr="00B00AA1" w:rsidRDefault="00B00AA1" w:rsidP="00B00AA1">
      <w:pPr>
        <w:rPr>
          <w:lang w:val="en-US"/>
        </w:rPr>
      </w:pPr>
      <w:r>
        <w:rPr>
          <w:noProof/>
          <w:lang w:eastAsia="en-AU"/>
        </w:rPr>
        <w:drawing>
          <wp:anchor distT="0" distB="0" distL="114300" distR="114300" simplePos="0" relativeHeight="251696128" behindDoc="0" locked="0" layoutInCell="1" allowOverlap="1">
            <wp:simplePos x="0" y="0"/>
            <wp:positionH relativeFrom="column">
              <wp:posOffset>0</wp:posOffset>
            </wp:positionH>
            <wp:positionV relativeFrom="paragraph">
              <wp:posOffset>1186180</wp:posOffset>
            </wp:positionV>
            <wp:extent cx="5731510" cy="2890520"/>
            <wp:effectExtent l="0" t="0" r="2540" b="5080"/>
            <wp:wrapSquare wrapText="bothSides"/>
            <wp:docPr id="38" name="Picture 38" descr="Bar graph displaying the reasons for taking a gap year for students under the age of 25 (shown in percentages)." title="Fig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jpg"/>
                    <pic:cNvPicPr/>
                  </pic:nvPicPr>
                  <pic:blipFill>
                    <a:blip r:embed="rId39">
                      <a:extLst>
                        <a:ext uri="{28A0092B-C50C-407E-A947-70E740481C1C}">
                          <a14:useLocalDpi xmlns:a14="http://schemas.microsoft.com/office/drawing/2010/main" val="0"/>
                        </a:ext>
                      </a:extLst>
                    </a:blip>
                    <a:stretch>
                      <a:fillRect/>
                    </a:stretch>
                  </pic:blipFill>
                  <pic:spPr>
                    <a:xfrm>
                      <a:off x="0" y="0"/>
                      <a:ext cx="5731510" cy="2890520"/>
                    </a:xfrm>
                    <a:prstGeom prst="rect">
                      <a:avLst/>
                    </a:prstGeom>
                  </pic:spPr>
                </pic:pic>
              </a:graphicData>
            </a:graphic>
            <wp14:sizeRelH relativeFrom="page">
              <wp14:pctWidth>0</wp14:pctWidth>
            </wp14:sizeRelH>
            <wp14:sizeRelV relativeFrom="page">
              <wp14:pctHeight>0</wp14:pctHeight>
            </wp14:sizeRelV>
          </wp:anchor>
        </w:drawing>
      </w:r>
      <w:r w:rsidRPr="00B00AA1">
        <w:rPr>
          <w:lang w:val="en-US"/>
        </w:rPr>
        <w:t>Consistent with findings reported earlier by Richardson and Friedman (2010), the results from this study indicate that 35% of respondents had taken a gap year before commencing university. The predominant reasons for them taking a gap year are financial, with a total of 38% of respondents indicating a financial reason (18% working to earn money, 12% financially could not afford university, and 8% to qualify for YA) as described in Figure 28.</w:t>
      </w:r>
    </w:p>
    <w:p w:rsidR="000B295E" w:rsidRDefault="00B00AA1" w:rsidP="00B00AA1">
      <w:pPr>
        <w:pStyle w:val="FigureTitles"/>
      </w:pPr>
      <w:r>
        <w:rPr>
          <w:rFonts w:eastAsia="Calibri"/>
          <w:b w:val="0"/>
          <w:sz w:val="24"/>
          <w:szCs w:val="22"/>
        </w:rPr>
        <w:br/>
      </w:r>
      <w:bookmarkStart w:id="78" w:name="_Toc517270602"/>
      <w:r>
        <w:t xml:space="preserve">Figure </w:t>
      </w:r>
      <w:fldSimple w:instr=" SEQ Figure \* ARABIC ">
        <w:r>
          <w:rPr>
            <w:noProof/>
          </w:rPr>
          <w:t>28</w:t>
        </w:r>
      </w:fldSimple>
      <w:r>
        <w:t xml:space="preserve">: </w:t>
      </w:r>
      <w:r w:rsidRPr="00780218">
        <w:t>Reasons for taking a gap year</w:t>
      </w:r>
      <w:bookmarkEnd w:id="78"/>
    </w:p>
    <w:p w:rsidR="00B00AA1" w:rsidRDefault="00B00AA1" w:rsidP="00B00AA1">
      <w:pPr>
        <w:rPr>
          <w:lang w:val="en-US"/>
        </w:rPr>
      </w:pPr>
      <w:r>
        <w:rPr>
          <w:lang w:val="en-US"/>
        </w:rPr>
        <w:br/>
      </w:r>
    </w:p>
    <w:p w:rsidR="00B00AA1" w:rsidRDefault="00B00AA1" w:rsidP="00B00AA1">
      <w:pPr>
        <w:rPr>
          <w:lang w:val="en-US"/>
        </w:rPr>
      </w:pPr>
      <w:r w:rsidRPr="00B00AA1">
        <w:rPr>
          <w:lang w:val="en-US"/>
        </w:rPr>
        <w:t xml:space="preserve">Despite the apparent necessity to take a gap year, those students interviewed indicated that it was a positive experience and recommended that </w:t>
      </w:r>
      <w:r>
        <w:rPr>
          <w:lang w:val="en-US"/>
        </w:rPr>
        <w:t xml:space="preserve">all rural students do the same. </w:t>
      </w:r>
    </w:p>
    <w:p w:rsidR="00B00AA1" w:rsidRPr="00B00AA1" w:rsidRDefault="00B00AA1" w:rsidP="00B00AA1">
      <w:pPr>
        <w:pStyle w:val="Quote"/>
        <w:rPr>
          <w:lang w:val="en-US"/>
        </w:rPr>
      </w:pPr>
      <w:r w:rsidRPr="00B00AA1">
        <w:rPr>
          <w:lang w:val="en-US"/>
        </w:rPr>
        <w:t xml:space="preserve">I saved up quite a lot of money in my gap year, and it did stress me out a bit after I purchased all the necessities like furniture and the other things required. I have been managing with work and Youth Allowance ... it’s stable and I’m actually able to reduce my work hours now that I’ve earned so much, so it has been good that way. So, for anyone I would definitely recommend having a gap year ... for any rural student ... I think it’s needed. </w:t>
      </w:r>
      <w:r w:rsidRPr="00B00AA1">
        <w:rPr>
          <w:i w:val="0"/>
          <w:lang w:val="en-US"/>
        </w:rPr>
        <w:t>Karen</w:t>
      </w:r>
    </w:p>
    <w:p w:rsidR="00B00AA1" w:rsidRPr="00B00AA1" w:rsidRDefault="00B00AA1" w:rsidP="00B00AA1">
      <w:pPr>
        <w:pStyle w:val="Quote"/>
        <w:rPr>
          <w:lang w:val="en-US"/>
        </w:rPr>
      </w:pPr>
      <w:r w:rsidRPr="00B00AA1">
        <w:rPr>
          <w:lang w:val="en-US"/>
        </w:rPr>
        <w:t xml:space="preserve">I am a big fan of gap years. I think you should try and save money if you can’t afford to pay for your child going (which most people can’t). </w:t>
      </w:r>
      <w:r w:rsidRPr="00B00AA1">
        <w:rPr>
          <w:i w:val="0"/>
          <w:lang w:val="en-US"/>
        </w:rPr>
        <w:t>Harry</w:t>
      </w:r>
    </w:p>
    <w:p w:rsidR="00B00AA1" w:rsidRPr="00B00AA1" w:rsidRDefault="00B00AA1" w:rsidP="00B00AA1">
      <w:pPr>
        <w:rPr>
          <w:lang w:val="en-US"/>
        </w:rPr>
      </w:pPr>
      <w:r w:rsidRPr="00B00AA1">
        <w:rPr>
          <w:lang w:val="en-US"/>
        </w:rPr>
        <w:t>Even for those who continued their education straight from school, indicated that in hindsight they would take a gap year not only for the purposes of earning money and qualifying for Youth Allowance, but to also provide the space and time to fully consider their career options.</w:t>
      </w:r>
    </w:p>
    <w:p w:rsidR="00B00AA1" w:rsidRPr="00B00AA1" w:rsidRDefault="00B00AA1" w:rsidP="00B00AA1">
      <w:pPr>
        <w:pStyle w:val="Quote"/>
        <w:rPr>
          <w:lang w:val="en-US"/>
        </w:rPr>
      </w:pPr>
      <w:r w:rsidRPr="00B00AA1">
        <w:rPr>
          <w:lang w:val="en-US"/>
        </w:rPr>
        <w:t>Because I’d come straight from school, and in hindsight I wish I’d had the gap year to start with because I didn’t really know what I wanted to be doing anyway. So, I sort of wish I did have a gap year, because I could’ve earned money and then I could’ve got Youth Allowance ... and then it would’ve been all fine. But it didn’t work that way. Yeah, so ... in hindsight I wish I’d d</w:t>
      </w:r>
      <w:r>
        <w:rPr>
          <w:lang w:val="en-US"/>
        </w:rPr>
        <w:t xml:space="preserve">one that ... but I didn’t. </w:t>
      </w:r>
      <w:r w:rsidRPr="00B00AA1">
        <w:rPr>
          <w:i w:val="0"/>
          <w:lang w:val="en-US"/>
        </w:rPr>
        <w:t>Isla</w:t>
      </w:r>
    </w:p>
    <w:p w:rsidR="00B00AA1" w:rsidRPr="00B00AA1" w:rsidRDefault="00B00AA1" w:rsidP="00B00AA1">
      <w:pPr>
        <w:rPr>
          <w:lang w:val="en-US"/>
        </w:rPr>
      </w:pPr>
      <w:r w:rsidRPr="00B00AA1">
        <w:rPr>
          <w:lang w:val="en-US"/>
        </w:rPr>
        <w:t>Whilst financial reasons were a major contributing factor to regional students taking a gap year, once at university the majority of students identified personal reasons, including stress and mental health, as the predominant reason for deferring their studies. A total of 17% of respondents had deferred their university studies, with 54% citing personal reason and stress as reasons for deferring compared with 12% citing work or financial issues and 34% citing a combination of personal and financial reasons. This emphasis on personal wellbeing reflects similar findings reported by Baik et al. (2015) that indicate emotional health can significantly impact student progression and retention.</w:t>
      </w:r>
    </w:p>
    <w:p w:rsidR="00B00AA1" w:rsidRDefault="00B00AA1" w:rsidP="00B00AA1">
      <w:pPr>
        <w:rPr>
          <w:lang w:val="en-US"/>
        </w:rPr>
      </w:pPr>
      <w:r w:rsidRPr="00B00AA1">
        <w:rPr>
          <w:lang w:val="en-US"/>
        </w:rPr>
        <w:t>Financial stress can have significant impacts on progression of studies with 36% of respondents indicating that they had considered withdrawing from their university course, with 62% citing the combination of financial and personal reasons. A further 38% cited personal reasons only, including mental health, as a contributing factor for withdrawing. The high proportion of students indicating that financial and personal factors are combined pressures, highlights the interwoven effect that financial circumstances has with a numb</w:t>
      </w:r>
      <w:r>
        <w:rPr>
          <w:lang w:val="en-US"/>
        </w:rPr>
        <w:t>er of other life circumstances.</w:t>
      </w:r>
    </w:p>
    <w:p w:rsidR="00B00AA1" w:rsidRPr="00B00AA1" w:rsidRDefault="00B00AA1" w:rsidP="00B00AA1">
      <w:pPr>
        <w:pStyle w:val="Heading2"/>
        <w:rPr>
          <w:lang w:val="en-US"/>
        </w:rPr>
      </w:pPr>
      <w:bookmarkStart w:id="79" w:name="_Toc517270348"/>
      <w:r>
        <w:rPr>
          <w:lang w:val="en-US"/>
        </w:rPr>
        <w:t>4.8 Adjustment</w:t>
      </w:r>
      <w:bookmarkEnd w:id="79"/>
    </w:p>
    <w:p w:rsidR="00B00AA1" w:rsidRPr="00B00AA1" w:rsidRDefault="00B00AA1" w:rsidP="00B00AA1">
      <w:pPr>
        <w:rPr>
          <w:lang w:val="en-US"/>
        </w:rPr>
      </w:pPr>
      <w:r w:rsidRPr="00B00AA1">
        <w:rPr>
          <w:lang w:val="en-US"/>
        </w:rPr>
        <w:t>Whilst sources such as the University website and visits to the campus provide regional students with some awareness of what relocating to university may be like, it is not until they are engaged in that transition process that the reality of the challenges associated with relocating become fully apparent. Whilst first year at university is a significant transition period for all first year university students, for regional students this period is magnified as a result of the significant cultural change of relocating to a metropolitan city. There are some similarities in the processes of adjustment that are experienced by regional students moving to cities and by international students moving to Australia for higher education. Marginson (2014) reports that international students studying in Australia expressed similar ‘cultural’ displacement issues, with students feeling isolated and having to ‘acclimatise’ to different ways of doing things. Wang (2012) also refers to the culture shock of</w:t>
      </w:r>
      <w:r>
        <w:rPr>
          <w:lang w:val="en-US"/>
        </w:rPr>
        <w:t xml:space="preserve"> </w:t>
      </w:r>
      <w:r w:rsidRPr="00B00AA1">
        <w:rPr>
          <w:lang w:val="en-US"/>
        </w:rPr>
        <w:t>international students, suggesting that newness to a context and loss of previous social interactions are an additional form of stress.</w:t>
      </w:r>
    </w:p>
    <w:p w:rsidR="00B00AA1" w:rsidRPr="00B00AA1" w:rsidRDefault="00B00AA1" w:rsidP="00B00AA1">
      <w:pPr>
        <w:rPr>
          <w:lang w:val="en-US"/>
        </w:rPr>
      </w:pPr>
      <w:r w:rsidRPr="00B00AA1">
        <w:rPr>
          <w:lang w:val="en-US"/>
        </w:rPr>
        <w:t>The following quotations from the qualitative data highlight the cultural displacement of regional students.</w:t>
      </w:r>
    </w:p>
    <w:p w:rsidR="00B00AA1" w:rsidRPr="00B00AA1" w:rsidRDefault="00B00AA1" w:rsidP="00B00AA1">
      <w:pPr>
        <w:pStyle w:val="Quote"/>
        <w:rPr>
          <w:lang w:val="en-US"/>
        </w:rPr>
      </w:pPr>
      <w:r w:rsidRPr="00B00AA1">
        <w:rPr>
          <w:lang w:val="en-US"/>
        </w:rPr>
        <w:t>Big culture shock. I remember coming to O-Week and someone says just casually (you know how you do the tours around), and they’re like, ‘we’ve got 25,000 to 30,000 students on this campus’, and you sit there and think, ‘that’s like double the amount of people that is in my home town ... in the entire thing, let alone my school only had 400 students’. So, it was a sho</w:t>
      </w:r>
      <w:r>
        <w:rPr>
          <w:lang w:val="en-US"/>
        </w:rPr>
        <w:t xml:space="preserve">ck ... it was a big shock. </w:t>
      </w:r>
      <w:r w:rsidRPr="00B00AA1">
        <w:rPr>
          <w:i w:val="0"/>
          <w:lang w:val="en-US"/>
        </w:rPr>
        <w:t>Emma</w:t>
      </w:r>
    </w:p>
    <w:p w:rsidR="00B00AA1" w:rsidRPr="00B00AA1" w:rsidRDefault="00B00AA1" w:rsidP="00B00AA1">
      <w:pPr>
        <w:pStyle w:val="Quote"/>
        <w:rPr>
          <w:lang w:val="en-US"/>
        </w:rPr>
      </w:pPr>
      <w:r w:rsidRPr="00B00AA1">
        <w:rPr>
          <w:lang w:val="en-US"/>
        </w:rPr>
        <w:t xml:space="preserve">[Hometown] has 200 people and about 70% of them are family. It’s very busy and different ... I’m still getting used to the fact that you don’t say, ‘hello’ to every single person that you walk past, and the waving in the car ... I wave to every single person I drive past, and you get a sore wrist by the end of it ... so, there’s definitely a </w:t>
      </w:r>
      <w:r>
        <w:rPr>
          <w:lang w:val="en-US"/>
        </w:rPr>
        <w:t xml:space="preserve">difference in atmosphere. </w:t>
      </w:r>
      <w:r w:rsidRPr="00B00AA1">
        <w:rPr>
          <w:i w:val="0"/>
          <w:lang w:val="en-US"/>
        </w:rPr>
        <w:t>Grace</w:t>
      </w:r>
    </w:p>
    <w:p w:rsidR="00B00AA1" w:rsidRPr="00B00AA1" w:rsidRDefault="00B00AA1" w:rsidP="00B00AA1">
      <w:pPr>
        <w:pStyle w:val="Quote"/>
        <w:rPr>
          <w:lang w:val="en-US"/>
        </w:rPr>
      </w:pPr>
      <w:r w:rsidRPr="00B00AA1">
        <w:rPr>
          <w:lang w:val="en-US"/>
        </w:rPr>
        <w:t>The lifestyle that I used to have just completely changed. I would say it fell to pieces almost … I think the change in lifest</w:t>
      </w:r>
      <w:r>
        <w:rPr>
          <w:lang w:val="en-US"/>
        </w:rPr>
        <w:t>yle is the trickiest part.</w:t>
      </w:r>
      <w:r w:rsidRPr="00B00AA1">
        <w:rPr>
          <w:i w:val="0"/>
          <w:lang w:val="en-US"/>
        </w:rPr>
        <w:t xml:space="preserve"> Jack</w:t>
      </w:r>
    </w:p>
    <w:p w:rsidR="00B00AA1" w:rsidRPr="00B00AA1" w:rsidRDefault="00B00AA1" w:rsidP="00B00AA1">
      <w:pPr>
        <w:pStyle w:val="Quote"/>
        <w:rPr>
          <w:lang w:val="en-US"/>
        </w:rPr>
      </w:pPr>
      <w:r w:rsidRPr="00B00AA1">
        <w:rPr>
          <w:lang w:val="en-US"/>
        </w:rPr>
        <w:t>Very hard (laughs). I sort of felt that in a rural community you’ve got support everywhere ... you can talk to anyone and get support. Here it’s more that you’ve gotta go out and look for it a bit harder ... it’s not immediately there for you. I also sort of felt that coming from home where you’ve got your bills and food looked after, and then you come down and you’ve got all these things that you’ve gotta sort out ... and then you’ve got uni., and so th</w:t>
      </w:r>
      <w:r>
        <w:rPr>
          <w:lang w:val="en-US"/>
        </w:rPr>
        <w:t xml:space="preserve">at was a really big thing. </w:t>
      </w:r>
      <w:r w:rsidRPr="00B00AA1">
        <w:rPr>
          <w:i w:val="0"/>
          <w:lang w:val="en-US"/>
        </w:rPr>
        <w:t>Lucy</w:t>
      </w:r>
    </w:p>
    <w:p w:rsidR="00B00AA1" w:rsidRPr="00B00AA1" w:rsidRDefault="00B00AA1" w:rsidP="00B00AA1">
      <w:pPr>
        <w:pStyle w:val="Quote"/>
        <w:rPr>
          <w:lang w:val="en-US"/>
        </w:rPr>
      </w:pPr>
      <w:r w:rsidRPr="00B00AA1">
        <w:rPr>
          <w:lang w:val="en-US"/>
        </w:rPr>
        <w:t>Very hard in a lot of senses ... because everybody up there is very friendly and you know everybody ... you go into the supermarket and you’re not just there for five minutes ... you’re there for half an hour talking. A lot of people went through retrenchment as well so they understood. I</w:t>
      </w:r>
      <w:r>
        <w:rPr>
          <w:lang w:val="en-US"/>
        </w:rPr>
        <w:t xml:space="preserve">t’s a different culture. </w:t>
      </w:r>
      <w:r w:rsidRPr="00B00AA1">
        <w:rPr>
          <w:i w:val="0"/>
          <w:lang w:val="en-US"/>
        </w:rPr>
        <w:t>Willow</w:t>
      </w:r>
    </w:p>
    <w:p w:rsidR="00B00AA1" w:rsidRPr="00B00AA1" w:rsidRDefault="00B00AA1" w:rsidP="00B00AA1">
      <w:pPr>
        <w:rPr>
          <w:lang w:val="en-US"/>
        </w:rPr>
      </w:pPr>
      <w:r w:rsidRPr="00B00AA1">
        <w:rPr>
          <w:lang w:val="en-US"/>
        </w:rPr>
        <w:t>Isolation …</w:t>
      </w:r>
    </w:p>
    <w:p w:rsidR="00B00AA1" w:rsidRPr="00B00AA1" w:rsidRDefault="00B00AA1" w:rsidP="00B00AA1">
      <w:pPr>
        <w:pStyle w:val="Quote"/>
        <w:rPr>
          <w:lang w:val="en-US"/>
        </w:rPr>
      </w:pPr>
      <w:r w:rsidRPr="00B00AA1">
        <w:rPr>
          <w:lang w:val="en-US"/>
        </w:rPr>
        <w:t>I felt quite isolated to begin with. I had no friends ... there was a new house (because I moved into a share house) so I had new house mates ... without my parents, you know. It was just ... yeah, it was very I didn’t really feel li</w:t>
      </w:r>
      <w:r>
        <w:rPr>
          <w:lang w:val="en-US"/>
        </w:rPr>
        <w:t xml:space="preserve">ke I belonged or anything. </w:t>
      </w:r>
      <w:r w:rsidRPr="00B00AA1">
        <w:rPr>
          <w:i w:val="0"/>
          <w:lang w:val="en-US"/>
        </w:rPr>
        <w:t>Lily</w:t>
      </w:r>
    </w:p>
    <w:p w:rsidR="00B00AA1" w:rsidRDefault="00B00AA1" w:rsidP="00B00AA1">
      <w:pPr>
        <w:pStyle w:val="Quote"/>
        <w:rPr>
          <w:i w:val="0"/>
          <w:lang w:val="en-US"/>
        </w:rPr>
      </w:pPr>
      <w:r w:rsidRPr="00B00AA1">
        <w:rPr>
          <w:lang w:val="en-US"/>
        </w:rPr>
        <w:t xml:space="preserve">Yeah. It was also hard because coming to uni ... people who have lived in Adelaide, it felt like they already had established networks ... there’s always someone that you know in your course, whereas for me I ... and still to this day I don’t have heaps of friends compared to what some of the other people have because they have this little network which leads onto this different network. </w:t>
      </w:r>
      <w:r w:rsidRPr="00B00AA1">
        <w:rPr>
          <w:i w:val="0"/>
          <w:lang w:val="en-US"/>
        </w:rPr>
        <w:t>Sophie</w:t>
      </w:r>
    </w:p>
    <w:p w:rsidR="00B00AA1" w:rsidRPr="00B00AA1" w:rsidRDefault="00B00AA1" w:rsidP="00B00AA1">
      <w:pPr>
        <w:pStyle w:val="Quote"/>
        <w:rPr>
          <w:lang w:val="en-US"/>
        </w:rPr>
      </w:pPr>
      <w:r w:rsidRPr="00B00AA1">
        <w:rPr>
          <w:lang w:val="en-US"/>
        </w:rPr>
        <w:t>It’s hard to get to know people because everyone seems to already have their friendship groups because it’s not a big deal for them going to uni. They went to school two blocks over and they’re just moving over to a bigger school, so you find there’s already a lot of friendship groups established, and it’s hard to get to know people. O-Week was particularly difficult. It’s a bit difficult if you’re living in a college, but if you’re living on your own then you don’t know where you’re go</w:t>
      </w:r>
      <w:r>
        <w:rPr>
          <w:lang w:val="en-US"/>
        </w:rPr>
        <w:t xml:space="preserve">ing or what you’re doing. </w:t>
      </w:r>
      <w:r w:rsidRPr="00B00AA1">
        <w:rPr>
          <w:i w:val="0"/>
          <w:lang w:val="en-US"/>
        </w:rPr>
        <w:t>Grace</w:t>
      </w:r>
    </w:p>
    <w:p w:rsidR="00B00AA1" w:rsidRPr="00B00AA1" w:rsidRDefault="00B00AA1" w:rsidP="00B00AA1">
      <w:pPr>
        <w:pStyle w:val="Quote"/>
        <w:rPr>
          <w:lang w:val="en-US"/>
        </w:rPr>
      </w:pPr>
      <w:r w:rsidRPr="00B00AA1">
        <w:rPr>
          <w:lang w:val="en-US"/>
        </w:rPr>
        <w:t>I haven’t been able to meet a lot of people because I haven’t been able to make the time. I would participate in sport but I have to work to be able to survive. And the times that you have you</w:t>
      </w:r>
      <w:r>
        <w:rPr>
          <w:lang w:val="en-US"/>
        </w:rPr>
        <w:t xml:space="preserve">r training I have to work. </w:t>
      </w:r>
      <w:r w:rsidRPr="00B00AA1">
        <w:rPr>
          <w:i w:val="0"/>
          <w:lang w:val="en-US"/>
        </w:rPr>
        <w:t>Isla</w:t>
      </w:r>
    </w:p>
    <w:p w:rsidR="00B00AA1" w:rsidRPr="00B00AA1" w:rsidRDefault="00B00AA1" w:rsidP="00B00AA1">
      <w:pPr>
        <w:pStyle w:val="Quote"/>
        <w:rPr>
          <w:lang w:val="en-US"/>
        </w:rPr>
      </w:pPr>
      <w:r w:rsidRPr="00B00AA1">
        <w:rPr>
          <w:lang w:val="en-US"/>
        </w:rPr>
        <w:t>In O-Week I got ridiculously lost. I could not figure out the public transport. In Year 10 we have a careers trip where they bring all the country kids over and teach us how to use busses ... it’s great. But even that ... I just got so ridiculously lost and was running late, it was boiling late ... and I just got home and collapsed ..</w:t>
      </w:r>
      <w:r>
        <w:rPr>
          <w:lang w:val="en-US"/>
        </w:rPr>
        <w:t xml:space="preserve">. exhausted and in tears. </w:t>
      </w:r>
      <w:r w:rsidRPr="00B00AA1">
        <w:rPr>
          <w:i w:val="0"/>
          <w:lang w:val="en-US"/>
        </w:rPr>
        <w:t>Grace</w:t>
      </w:r>
    </w:p>
    <w:p w:rsidR="00B00AA1" w:rsidRPr="00B00AA1" w:rsidRDefault="00B00AA1" w:rsidP="00B00AA1">
      <w:pPr>
        <w:pStyle w:val="Quote"/>
        <w:rPr>
          <w:lang w:val="en-US"/>
        </w:rPr>
      </w:pPr>
      <w:r w:rsidRPr="00B00AA1">
        <w:rPr>
          <w:lang w:val="en-US"/>
        </w:rPr>
        <w:t xml:space="preserve">Driving ... because in [hometown] it’s really easy, and there’s only one two lane road ... which you don’t go down very often, so coming to Adelaide ... I still don’t feel super comfortable because there’s so much traffic, and I’ve found the lane changing heaps hard, so I </w:t>
      </w:r>
      <w:r>
        <w:rPr>
          <w:lang w:val="en-US"/>
        </w:rPr>
        <w:t xml:space="preserve">catch the bus every day to uni. </w:t>
      </w:r>
      <w:r w:rsidRPr="00B00AA1">
        <w:rPr>
          <w:i w:val="0"/>
          <w:lang w:val="en-US"/>
        </w:rPr>
        <w:t>Sophie</w:t>
      </w:r>
    </w:p>
    <w:p w:rsidR="00B00AA1" w:rsidRPr="00B00AA1" w:rsidRDefault="00B00AA1" w:rsidP="00B00AA1">
      <w:pPr>
        <w:pStyle w:val="Quote"/>
        <w:rPr>
          <w:lang w:val="en-US"/>
        </w:rPr>
      </w:pPr>
      <w:r w:rsidRPr="00B00AA1">
        <w:rPr>
          <w:lang w:val="en-US"/>
        </w:rPr>
        <w:t>I would like to be playing netball but that’s a little bit too big and scary and hard for this year, so ... I’m actually living a fair way away from uni at the moment, so hopefully next year I will live closer to uni and I can start looking into a netball club. I’ve played for the same netball club since I was five years old. Every single season without fail ... I hardly missed any games, I’ve played over 100 games. So, it was really tough ... I didn’t expect it to be so hard not playing netball for my home team. Every single one of my siblings ... my nieces and nephew have played for that team, and to be able to be sitting on Facebook and looking at photos of everyone at the footy and on the netball trip ... it is tougher than I thought it wo</w:t>
      </w:r>
      <w:r>
        <w:rPr>
          <w:lang w:val="en-US"/>
        </w:rPr>
        <w:t xml:space="preserve">uld be missing out on all that. </w:t>
      </w:r>
      <w:r w:rsidRPr="00B00AA1">
        <w:rPr>
          <w:i w:val="0"/>
          <w:lang w:val="en-US"/>
        </w:rPr>
        <w:t>Grace</w:t>
      </w:r>
    </w:p>
    <w:p w:rsidR="00B00AA1" w:rsidRPr="00B00AA1" w:rsidRDefault="00B00AA1" w:rsidP="00B00AA1">
      <w:pPr>
        <w:pStyle w:val="Quote"/>
        <w:rPr>
          <w:lang w:val="en-US"/>
        </w:rPr>
      </w:pPr>
      <w:r w:rsidRPr="00B00AA1">
        <w:rPr>
          <w:lang w:val="en-US"/>
        </w:rPr>
        <w:t>Sometimes it’s tough when you’re in a class and everyone seems to know each other from high school and you know literally no one. Finding sporting clubs is something that I’ve found difficult. In my home town it’s very sports orientated ... if you want to play sport you can do it so easily. Whereas I moved here and I don’t really know how to go ab</w:t>
      </w:r>
      <w:r>
        <w:rPr>
          <w:lang w:val="en-US"/>
        </w:rPr>
        <w:t xml:space="preserve">out it. </w:t>
      </w:r>
      <w:r w:rsidRPr="00B00AA1">
        <w:rPr>
          <w:i w:val="0"/>
          <w:lang w:val="en-US"/>
        </w:rPr>
        <w:t>Harry</w:t>
      </w:r>
    </w:p>
    <w:p w:rsidR="00B00AA1" w:rsidRPr="00B00AA1" w:rsidRDefault="00B00AA1" w:rsidP="00B00AA1">
      <w:pPr>
        <w:pStyle w:val="Quote"/>
        <w:rPr>
          <w:lang w:val="en-US"/>
        </w:rPr>
      </w:pPr>
      <w:r w:rsidRPr="00B00AA1">
        <w:rPr>
          <w:lang w:val="en-US"/>
        </w:rPr>
        <w:t xml:space="preserve">Since I’ve moved to Adelaide I haven’t been involved in sport, and I haven’t really known which club to play for or anything like that. </w:t>
      </w:r>
      <w:r w:rsidRPr="00B00AA1">
        <w:rPr>
          <w:i w:val="0"/>
          <w:lang w:val="en-US"/>
        </w:rPr>
        <w:t>Isla</w:t>
      </w:r>
    </w:p>
    <w:p w:rsidR="00B00AA1" w:rsidRPr="00B00AA1" w:rsidRDefault="00B00AA1" w:rsidP="00B00AA1">
      <w:pPr>
        <w:rPr>
          <w:lang w:val="en-US"/>
        </w:rPr>
      </w:pPr>
      <w:r w:rsidRPr="00B00AA1">
        <w:rPr>
          <w:lang w:val="en-US"/>
        </w:rPr>
        <w:t>Learning to be independent …</w:t>
      </w:r>
    </w:p>
    <w:p w:rsidR="00B00AA1" w:rsidRPr="00B00AA1" w:rsidRDefault="00B00AA1" w:rsidP="00B00AA1">
      <w:pPr>
        <w:pStyle w:val="Quote"/>
        <w:rPr>
          <w:lang w:val="en-US"/>
        </w:rPr>
      </w:pPr>
      <w:r w:rsidRPr="00B00AA1">
        <w:rPr>
          <w:lang w:val="en-US"/>
        </w:rPr>
        <w:t>I think just moving out of home ... and I feel like I’m still quite young to be moved out of home because a lot of my friends who live in Adelaide haven’t moved out ... because they haven’t needed to, so I think just being able to budget your money and make sure that you’re paying your rent on time, and</w:t>
      </w:r>
      <w:r>
        <w:rPr>
          <w:lang w:val="en-US"/>
        </w:rPr>
        <w:t xml:space="preserve"> </w:t>
      </w:r>
      <w:r w:rsidRPr="00B00AA1">
        <w:rPr>
          <w:lang w:val="en-US"/>
        </w:rPr>
        <w:t>making sure you have enough money to see you through the week ... and then knowing what activities you can do. I think that’s just a bit stressful, and because with the Centrelink money is not quite enough to put you through for the week, so you have to somehow make sure that you’re getting that little bit extra so you</w:t>
      </w:r>
      <w:r>
        <w:rPr>
          <w:lang w:val="en-US"/>
        </w:rPr>
        <w:t xml:space="preserve"> can pay for your board. </w:t>
      </w:r>
      <w:r w:rsidRPr="00B00AA1">
        <w:rPr>
          <w:i w:val="0"/>
          <w:lang w:val="en-US"/>
        </w:rPr>
        <w:t>Regina</w:t>
      </w:r>
    </w:p>
    <w:p w:rsidR="00B00AA1" w:rsidRPr="00B00AA1" w:rsidRDefault="00B00AA1" w:rsidP="00AD3A1C">
      <w:pPr>
        <w:pStyle w:val="Quote"/>
        <w:rPr>
          <w:lang w:val="en-US"/>
        </w:rPr>
      </w:pPr>
      <w:r w:rsidRPr="00B00AA1">
        <w:rPr>
          <w:lang w:val="en-US"/>
        </w:rPr>
        <w:t xml:space="preserve">You have to do all the cooking and everything on your own which is sometimes hard to find the time to do when you’re at uni ... and even doing washing and stuff like that ... I never did that at home. I never changed my sheets or anything like that ... I always had </w:t>
      </w:r>
      <w:r>
        <w:rPr>
          <w:lang w:val="en-US"/>
        </w:rPr>
        <w:t xml:space="preserve">someone to do it for me. </w:t>
      </w:r>
      <w:r w:rsidRPr="00AD3A1C">
        <w:rPr>
          <w:i w:val="0"/>
          <w:lang w:val="en-US"/>
        </w:rPr>
        <w:t>Sophie</w:t>
      </w:r>
    </w:p>
    <w:p w:rsidR="00B00AA1" w:rsidRPr="00B00AA1" w:rsidRDefault="00B00AA1" w:rsidP="00B00AA1">
      <w:pPr>
        <w:rPr>
          <w:lang w:val="en-US"/>
        </w:rPr>
      </w:pPr>
      <w:r w:rsidRPr="00B00AA1">
        <w:rPr>
          <w:lang w:val="en-US"/>
        </w:rPr>
        <w:t>Despite the challenges, though, a number of interviewees identified that it was a process that helped them to develop and grow.</w:t>
      </w:r>
    </w:p>
    <w:p w:rsidR="00B00AA1" w:rsidRPr="00B00AA1" w:rsidRDefault="00B00AA1" w:rsidP="00AD3A1C">
      <w:pPr>
        <w:pStyle w:val="Quote"/>
        <w:rPr>
          <w:lang w:val="en-US"/>
        </w:rPr>
      </w:pPr>
      <w:r w:rsidRPr="00B00AA1">
        <w:rPr>
          <w:lang w:val="en-US"/>
        </w:rPr>
        <w:t xml:space="preserve">It’s challenging because everything is so different once you move to a city. It was definitely a challenge, but it was also eye opening ... so it was challenging in a good way. It helped me to grow into a person, but you do lose ... I guess there’s really a big sense of community at home where everyone knows everyone, and you all help each other out ... and in Adelaide that’s a little bit different because you don’t just know everyone as soon as you get here ... you have to expand your own networks. But then when you do go home everyone questions how you’re going with uni, and it’s really positive for you because you’ve gone out and done something away from home ... and then you can come back and they’re all proud of you. </w:t>
      </w:r>
      <w:r w:rsidRPr="00AD3A1C">
        <w:rPr>
          <w:i w:val="0"/>
          <w:lang w:val="en-US"/>
        </w:rPr>
        <w:t>Regina</w:t>
      </w:r>
    </w:p>
    <w:p w:rsidR="00B00AA1" w:rsidRPr="00B00AA1" w:rsidRDefault="00AD3A1C" w:rsidP="00AD3A1C">
      <w:pPr>
        <w:ind w:left="567"/>
        <w:rPr>
          <w:lang w:val="en-US"/>
        </w:rPr>
      </w:pPr>
      <w:r w:rsidRPr="00AD3A1C">
        <w:rPr>
          <w:b/>
          <w:lang w:val="en-US"/>
        </w:rPr>
        <w:t>Recommendation 6</w:t>
      </w:r>
      <w:r>
        <w:rPr>
          <w:lang w:val="en-US"/>
        </w:rPr>
        <w:br/>
      </w:r>
      <w:r w:rsidR="00B00AA1" w:rsidRPr="00B00AA1">
        <w:rPr>
          <w:lang w:val="en-US"/>
        </w:rPr>
        <w:t>Universities to consider how best to assist regional students’ transition to university and sense of connection with university life.</w:t>
      </w:r>
    </w:p>
    <w:p w:rsidR="00AD3A1C" w:rsidRDefault="00AD3A1C">
      <w:pPr>
        <w:spacing w:after="0"/>
        <w:rPr>
          <w:lang w:val="en-US"/>
        </w:rPr>
      </w:pPr>
      <w:r>
        <w:rPr>
          <w:lang w:val="en-US"/>
        </w:rPr>
        <w:br w:type="page"/>
      </w:r>
    </w:p>
    <w:p w:rsidR="00AD3A1C" w:rsidRDefault="00AD3A1C" w:rsidP="00AD3A1C">
      <w:pPr>
        <w:pStyle w:val="Heading1"/>
        <w:rPr>
          <w:lang w:val="en-US"/>
        </w:rPr>
      </w:pPr>
      <w:bookmarkStart w:id="80" w:name="_Toc517270349"/>
      <w:r>
        <w:rPr>
          <w:lang w:val="en-US"/>
        </w:rPr>
        <w:t>5. Study Limitations</w:t>
      </w:r>
      <w:bookmarkEnd w:id="80"/>
    </w:p>
    <w:p w:rsidR="00B00AA1" w:rsidRPr="00B00AA1" w:rsidRDefault="00B00AA1" w:rsidP="00B00AA1">
      <w:pPr>
        <w:rPr>
          <w:lang w:val="en-US"/>
        </w:rPr>
      </w:pPr>
      <w:r w:rsidRPr="00B00AA1">
        <w:rPr>
          <w:lang w:val="en-US"/>
        </w:rPr>
        <w:t>Limitations of this project can be associated with the timing of data collection that occurred during mid-year, and the level of financial stress and mean income may have varied from earlier in the year due to problems associated with applying and receiving government income support.</w:t>
      </w:r>
    </w:p>
    <w:p w:rsidR="00B00AA1" w:rsidRPr="00B00AA1" w:rsidRDefault="00B00AA1" w:rsidP="00B00AA1">
      <w:pPr>
        <w:rPr>
          <w:lang w:val="en-US"/>
        </w:rPr>
      </w:pPr>
      <w:r w:rsidRPr="00B00AA1">
        <w:rPr>
          <w:lang w:val="en-US"/>
        </w:rPr>
        <w:t>Whilst this study targeted both undergraduate and postgraduate regional students, the limited number of postgraduate respondents is acknowledged as a limitation of this study. The low postgraduate response rate may be attributed to a number of factors, including: the number of regional students that continue on to postgraduate studies; and the length of time spent away from their rural home completing undergraduate studies may result in a number of postgraduate students, originally from regional areas, no longer identifying themselves as regional students.</w:t>
      </w:r>
    </w:p>
    <w:p w:rsidR="00AD3A1C" w:rsidRDefault="00B00AA1" w:rsidP="00B00AA1">
      <w:pPr>
        <w:rPr>
          <w:lang w:val="en-US"/>
        </w:rPr>
      </w:pPr>
      <w:r w:rsidRPr="00B00AA1">
        <w:rPr>
          <w:lang w:val="en-US"/>
        </w:rPr>
        <w:t>There is also a hidden data set for students whom have not enrolled in higher education. For the potential learners where higher education financial commitments was perhaps a ‘bridge too far’ or whom have withdrawn from studies because the complexities were too stressful to manage, no data has been captured.</w:t>
      </w:r>
    </w:p>
    <w:p w:rsidR="00AD3A1C" w:rsidRDefault="00AD3A1C">
      <w:pPr>
        <w:spacing w:after="0"/>
        <w:rPr>
          <w:lang w:val="en-US"/>
        </w:rPr>
      </w:pPr>
      <w:r>
        <w:rPr>
          <w:lang w:val="en-US"/>
        </w:rPr>
        <w:br w:type="page"/>
      </w:r>
    </w:p>
    <w:p w:rsidR="00B00AA1" w:rsidRDefault="00AD3A1C" w:rsidP="000D5ABF">
      <w:pPr>
        <w:pStyle w:val="Heading1"/>
        <w:rPr>
          <w:lang w:val="en-US"/>
        </w:rPr>
      </w:pPr>
      <w:bookmarkStart w:id="81" w:name="_Toc517270350"/>
      <w:r>
        <w:rPr>
          <w:lang w:val="en-US"/>
        </w:rPr>
        <w:t>6. Conclusions</w:t>
      </w:r>
      <w:bookmarkEnd w:id="81"/>
    </w:p>
    <w:p w:rsidR="00AD3A1C" w:rsidRPr="00AD3A1C" w:rsidRDefault="00AD3A1C" w:rsidP="00AD3A1C">
      <w:pPr>
        <w:rPr>
          <w:lang w:val="en-US"/>
        </w:rPr>
      </w:pPr>
      <w:r w:rsidRPr="00AD3A1C">
        <w:rPr>
          <w:lang w:val="en-US"/>
        </w:rPr>
        <w:t>This study addresses a gap in knowledge about the financial circumstances of regional students studying in higher education by collecting evidence across a whole institution, the University of South Australia, for commencing, continuing and postgraduate students. However, determining and defining regionality can be challenging, with government departments and universities having variable interpretations based on evolving criteria, making comparisons difficult over time. We suggest that the creation of a higher education rural mapping system that allows a regional student’s home address to be mapped to their applicable university campus, can provide a more equitable mechanism for determining eligibility for various government and university financial support mechanisms.</w:t>
      </w:r>
    </w:p>
    <w:p w:rsidR="00AD3A1C" w:rsidRPr="00AD3A1C" w:rsidRDefault="00AD3A1C" w:rsidP="00AD3A1C">
      <w:pPr>
        <w:rPr>
          <w:lang w:val="en-US"/>
        </w:rPr>
      </w:pPr>
      <w:r w:rsidRPr="00AD3A1C">
        <w:rPr>
          <w:lang w:val="en-US"/>
        </w:rPr>
        <w:t xml:space="preserve">Evidence gathered via survey and individual student interviews demonstrates that regional students are not a homogenous group and presentation of data across two categories, under 25 years of age and 25 years of age, with both categories further disaggregated by relocation status, has proved to be an informative mechanism for presenting evidence. The most significant demographic data that this approach has clarified is that 82% of regional students aged under 25 relocated for study purposes and only 10.8% of student aged 25 years and over relocated for study purposes. Also of significance is that 46.7% (almost half) of the under 25 grouping of students received Youth Allowance (YA), which means that more than half did not. This seems to support findings </w:t>
      </w:r>
      <w:r>
        <w:rPr>
          <w:lang w:val="en-US"/>
        </w:rPr>
        <w:t>from the Universities Australia</w:t>
      </w:r>
      <w:r>
        <w:rPr>
          <w:rStyle w:val="FootnoteReference"/>
          <w:lang w:val="en-US"/>
        </w:rPr>
        <w:footnoteReference w:id="7"/>
      </w:r>
      <w:r w:rsidRPr="00AD3A1C">
        <w:rPr>
          <w:lang w:val="en-US"/>
        </w:rPr>
        <w:t xml:space="preserve"> 2012 national study of domestic and international students that indicate a ‘polarization between the “haves” and “have-nots”’ (Bexley et al. 2013, p. 7), with the financial situations of university students being far from homogenous (Bexley et al. 2013; Halliday-Wynes &amp; Nguyen 2014). Qualitative data from student interviews reflected similar extremes, with some students obviously distressed as they emotionally recalled transition issues and others who found the journey less stressful but still a challenge.</w:t>
      </w:r>
    </w:p>
    <w:p w:rsidR="00AD3A1C" w:rsidRPr="00AD3A1C" w:rsidRDefault="00AD3A1C" w:rsidP="00AD3A1C">
      <w:pPr>
        <w:rPr>
          <w:lang w:val="en-US"/>
        </w:rPr>
      </w:pPr>
      <w:r w:rsidRPr="00AD3A1C">
        <w:rPr>
          <w:lang w:val="en-US"/>
        </w:rPr>
        <w:t>With 46.7% of regional students under aged 25 receiving YA, achieving eligibility for YA will have significant impacts on participation in higher education. However the process of achieving eligibility may work in conflict with government aims of increasing participation amongst regional students. Students may delay tertiary study for up to 18 months in order to meet the full-time work criterion for independence. This could prove to be a difficult task in what is a highly competitive job market for unskilled workers. Our evidence show 35% of respondents took a gap year for a variety of reasons and the findings of Polesel and Klatt (2014) conclude that regional school completers are twice as likely to defer as city-based school completers, with regional students who are able to qualify for YA much more likely to take up their university place.</w:t>
      </w:r>
    </w:p>
    <w:p w:rsidR="00AD3A1C" w:rsidRDefault="00AD3A1C" w:rsidP="00AD3A1C">
      <w:pPr>
        <w:rPr>
          <w:lang w:val="en-US"/>
        </w:rPr>
      </w:pPr>
      <w:r w:rsidRPr="00AD3A1C">
        <w:rPr>
          <w:lang w:val="en-US"/>
        </w:rPr>
        <w:t>In addition to YA, scholarships are a significant enabler for regional students attending university, particularly for those aged under 25 who have relocated. Government and university scholarships can bridge the significant ‘start-up’ costs of going to university and this form of supplement to income will continue to be an important form of support that allows for strategically targeting those regional students in most need.</w:t>
      </w:r>
    </w:p>
    <w:p w:rsidR="00AD3A1C" w:rsidRPr="00AD3A1C" w:rsidRDefault="00AD3A1C" w:rsidP="00AD3A1C">
      <w:pPr>
        <w:rPr>
          <w:lang w:val="en-US"/>
        </w:rPr>
      </w:pPr>
      <w:r>
        <w:rPr>
          <w:lang w:val="en-US"/>
        </w:rPr>
        <w:t>T</w:t>
      </w:r>
      <w:r w:rsidRPr="00AD3A1C">
        <w:rPr>
          <w:lang w:val="en-US"/>
        </w:rPr>
        <w:t>here were a number of emerging areas of concern highlighted by findings in this study. The first relates to the high levels of financial stress being experienced by all regional students and more</w:t>
      </w:r>
      <w:r>
        <w:rPr>
          <w:lang w:val="en-US"/>
        </w:rPr>
        <w:t xml:space="preserve"> </w:t>
      </w:r>
      <w:r w:rsidRPr="00AD3A1C">
        <w:rPr>
          <w:lang w:val="en-US"/>
        </w:rPr>
        <w:t>significantly by relocating students. While all students who commence higher education undergo some form of transition the additional layers of transitioning influences that come from moving away from established networks add to the challenges of that transition. Being disconnected from family, social, employment and sporting contacts combined with a city-based culture with a high degree of anonymity is likely to be a very different experience for regional students. Another layer of complexity comes from learning to be independent, with the need to manage living environments (that are often more expensive than anticipated) while also allowing for time to rebuild networks.</w:t>
      </w:r>
    </w:p>
    <w:p w:rsidR="00AD3A1C" w:rsidRPr="00AD3A1C" w:rsidRDefault="00AD3A1C" w:rsidP="00AD3A1C">
      <w:pPr>
        <w:rPr>
          <w:lang w:val="en-US"/>
        </w:rPr>
      </w:pPr>
      <w:r w:rsidRPr="00AD3A1C">
        <w:rPr>
          <w:lang w:val="en-US"/>
        </w:rPr>
        <w:t>There are subtle connections between each of the layers that often have indirect financial consequences and require a young adult to become very efficient in time management and in recognising the opportunity cost of not being able to effectively address all needs at once. Managing choices about how to spend time will also have implications on study, and potentially on study outcomes. The expectation (real or imagined) of having the capability to efficiently and effectively manage the layers of complexity is perhaps another contributor to stress. Stress levels in mature age students is also significant with those relocating and balancing, carer responsibilities, with work, study and living demands being the most stressed of all respondents 66.7% of students relocating students 25 years and over are highly stressed and another 20.8% being moderately stressed.</w:t>
      </w:r>
    </w:p>
    <w:p w:rsidR="00AD3A1C" w:rsidRPr="00AD3A1C" w:rsidRDefault="00AD3A1C" w:rsidP="00AD3A1C">
      <w:pPr>
        <w:rPr>
          <w:lang w:val="en-US"/>
        </w:rPr>
      </w:pPr>
      <w:r w:rsidRPr="00AD3A1C">
        <w:rPr>
          <w:lang w:val="en-US"/>
        </w:rPr>
        <w:t>Generally one third of mature age students are receiving some form of government benefits with clarity about reported income and expense levels being somewhat clouded because of the difficulty of isolating the impacts of shared living costs with partner income and expenses.</w:t>
      </w:r>
    </w:p>
    <w:p w:rsidR="00AD3A1C" w:rsidRPr="00AD3A1C" w:rsidRDefault="00AD3A1C" w:rsidP="00AD3A1C">
      <w:pPr>
        <w:rPr>
          <w:lang w:val="en-US"/>
        </w:rPr>
      </w:pPr>
      <w:r w:rsidRPr="00AD3A1C">
        <w:rPr>
          <w:lang w:val="en-US"/>
        </w:rPr>
        <w:t>The stress levels identified in this study reflect broad student groups that includes commencing continuing and postgraduate regional students. Stress levels reported in this study are not directly comparable with other studies as the student profile of those being surveyed in previous studies are varied. However, data suggests that stress levels are rising. An avenue for further research is to survey alumni to determine ex-post how stress levels impact regional student performance, and retention.</w:t>
      </w:r>
    </w:p>
    <w:p w:rsidR="00AD3A1C" w:rsidRPr="00AD3A1C" w:rsidRDefault="00AD3A1C" w:rsidP="00AD3A1C">
      <w:pPr>
        <w:rPr>
          <w:lang w:val="en-US"/>
        </w:rPr>
      </w:pPr>
      <w:r w:rsidRPr="00AD3A1C">
        <w:rPr>
          <w:lang w:val="en-US"/>
        </w:rPr>
        <w:t>A second emerging area of concern for students who are studying at regional locations, online or in mixed modes, is the cost of attending metropolitan workshops and compulsory professional practice classes. The need to find and afford short stay accommodation, together with the associated stresses of needing to travel and be away from home and jobs can be challenging. This type of short stay can mean that students are paying rent on their home and another layer of accommodation, both at the same time. As technology-mediated learning opportunities increase, there is likely to be a corresponding increase in the need for professionally accredited programs to have such practice based workshops. Developing creative solutions to assist students with such challenges may be a useful emerging support initiative however research to understand the extent of the issue is another avenue for further research. Universities can proactively recognise and assist with logistical issues to ensure that the costs of regional student participation in such workshops is as efficient and effective as possible. This could form part of a regional student website or Facebook page to assist with regional student transition and assimilation issues.</w:t>
      </w:r>
    </w:p>
    <w:p w:rsidR="000D5ABF" w:rsidRDefault="00AD3A1C" w:rsidP="00AD3A1C">
      <w:pPr>
        <w:rPr>
          <w:lang w:val="en-US"/>
        </w:rPr>
      </w:pPr>
      <w:r w:rsidRPr="00AD3A1C">
        <w:rPr>
          <w:lang w:val="en-US"/>
        </w:rPr>
        <w:t>This study has confirmed that for regional students participating in higher education there are significant transitional challenges. It is also clear that the journey to higher education for relocating regional students involves a significant cultural shift from a way of life that is quite different form living in a metropolitan location. However, interviews also revealed a strong degree of resilience for those who are continuing their studies and have passed through the transition stage. The personal</w:t>
      </w:r>
      <w:r>
        <w:rPr>
          <w:lang w:val="en-US"/>
        </w:rPr>
        <w:t xml:space="preserve"> </w:t>
      </w:r>
      <w:r w:rsidRPr="00AD3A1C">
        <w:rPr>
          <w:lang w:val="en-US"/>
        </w:rPr>
        <w:t>journeys that were shared demonstrated a strong commitment to learning and also that regional student support structures are very much appreciated and needed.</w:t>
      </w:r>
    </w:p>
    <w:p w:rsidR="000D5ABF" w:rsidRDefault="000D5ABF">
      <w:pPr>
        <w:spacing w:after="0"/>
        <w:rPr>
          <w:lang w:val="en-US"/>
        </w:rPr>
      </w:pPr>
      <w:r>
        <w:rPr>
          <w:lang w:val="en-US"/>
        </w:rPr>
        <w:br w:type="page"/>
      </w:r>
    </w:p>
    <w:p w:rsidR="00AD3A1C" w:rsidRDefault="000D5ABF" w:rsidP="000D5ABF">
      <w:pPr>
        <w:pStyle w:val="Heading1"/>
        <w:rPr>
          <w:lang w:val="en-US"/>
        </w:rPr>
      </w:pPr>
      <w:bookmarkStart w:id="82" w:name="_Toc517270351"/>
      <w:r>
        <w:rPr>
          <w:lang w:val="en-US"/>
        </w:rPr>
        <w:t>7. References</w:t>
      </w:r>
      <w:bookmarkEnd w:id="82"/>
    </w:p>
    <w:p w:rsidR="000D5ABF" w:rsidRPr="000D5ABF" w:rsidRDefault="000D5ABF" w:rsidP="000D5ABF">
      <w:pPr>
        <w:rPr>
          <w:lang w:val="en-US"/>
        </w:rPr>
      </w:pPr>
      <w:r w:rsidRPr="000D5ABF">
        <w:rPr>
          <w:lang w:val="en-US"/>
        </w:rPr>
        <w:t xml:space="preserve">Alston, M &amp; Kent, J 2009, ‘Generation X-pendable The social exclusion of rural and remote young people’, </w:t>
      </w:r>
      <w:r w:rsidRPr="000D5ABF">
        <w:rPr>
          <w:i/>
          <w:lang w:val="en-US"/>
        </w:rPr>
        <w:t>Journal of Sociology</w:t>
      </w:r>
      <w:r w:rsidRPr="000D5ABF">
        <w:rPr>
          <w:lang w:val="en-US"/>
        </w:rPr>
        <w:t>, vol. 45, no. 1, pp. 89–107.</w:t>
      </w:r>
    </w:p>
    <w:p w:rsidR="000D5ABF" w:rsidRPr="000D5ABF" w:rsidRDefault="000D5ABF" w:rsidP="000D5ABF">
      <w:pPr>
        <w:rPr>
          <w:lang w:val="en-US"/>
        </w:rPr>
      </w:pPr>
      <w:r w:rsidRPr="000D5ABF">
        <w:rPr>
          <w:lang w:val="en-US"/>
        </w:rPr>
        <w:t xml:space="preserve">Australian Bureau of Statistics (ABS) 2002, Year Book Australia: </w:t>
      </w:r>
      <w:r w:rsidRPr="000D5ABF">
        <w:rPr>
          <w:i/>
          <w:lang w:val="en-US"/>
        </w:rPr>
        <w:t>Household Income, Living Standards and Financial Stress</w:t>
      </w:r>
      <w:r w:rsidRPr="000D5ABF">
        <w:rPr>
          <w:lang w:val="en-US"/>
        </w:rPr>
        <w:t>, cat. no. 1301.0, ABS, Canberra.</w:t>
      </w:r>
    </w:p>
    <w:p w:rsidR="000D5ABF" w:rsidRPr="000D5ABF" w:rsidRDefault="000D5ABF" w:rsidP="000D5ABF">
      <w:pPr>
        <w:rPr>
          <w:lang w:val="en-US"/>
        </w:rPr>
      </w:pPr>
      <w:r w:rsidRPr="000D5ABF">
        <w:rPr>
          <w:lang w:val="en-US"/>
        </w:rPr>
        <w:t xml:space="preserve">Australian Bureau of Statistics (ABS) 2011a, </w:t>
      </w:r>
      <w:r w:rsidRPr="000D5ABF">
        <w:rPr>
          <w:i/>
          <w:lang w:val="en-US"/>
        </w:rPr>
        <w:t>Australian statistical geography standard (ASGS): Volume 5 Remoteness structure</w:t>
      </w:r>
      <w:r w:rsidRPr="000D5ABF">
        <w:rPr>
          <w:lang w:val="en-US"/>
        </w:rPr>
        <w:t>, cat. no. 1270.0, ABS, Canberra.</w:t>
      </w:r>
    </w:p>
    <w:p w:rsidR="000D5ABF" w:rsidRPr="000D5ABF" w:rsidRDefault="000D5ABF" w:rsidP="000D5ABF">
      <w:pPr>
        <w:rPr>
          <w:lang w:val="en-US"/>
        </w:rPr>
      </w:pPr>
      <w:r w:rsidRPr="000D5ABF">
        <w:rPr>
          <w:lang w:val="en-US"/>
        </w:rPr>
        <w:t xml:space="preserve">Australian Bureau of Statistics (ABS) 2011b, </w:t>
      </w:r>
      <w:r w:rsidRPr="000D5ABF">
        <w:rPr>
          <w:i/>
          <w:lang w:val="en-US"/>
        </w:rPr>
        <w:t>Perspectives on Regional Australia: Housing Arrangements – Rental Rates in Local Government Areas</w:t>
      </w:r>
      <w:r w:rsidRPr="000D5ABF">
        <w:rPr>
          <w:lang w:val="en-US"/>
        </w:rPr>
        <w:t>, Cat. no. 1380.0.55.013, ABS Canberra.</w:t>
      </w:r>
    </w:p>
    <w:p w:rsidR="000D5ABF" w:rsidRPr="000D5ABF" w:rsidRDefault="000D5ABF" w:rsidP="000D5ABF">
      <w:pPr>
        <w:rPr>
          <w:lang w:val="en-US"/>
        </w:rPr>
      </w:pPr>
      <w:r w:rsidRPr="000D5ABF">
        <w:rPr>
          <w:lang w:val="en-US"/>
        </w:rPr>
        <w:t xml:space="preserve">Baik, C, Naylor, R &amp; Arkoudis, S 2015, </w:t>
      </w:r>
      <w:r w:rsidRPr="000D5ABF">
        <w:rPr>
          <w:i/>
          <w:lang w:val="en-US"/>
        </w:rPr>
        <w:t>The first year experience in Australian universities: Findings from two decades 1994–2014</w:t>
      </w:r>
      <w:r w:rsidRPr="000D5ABF">
        <w:rPr>
          <w:lang w:val="en-US"/>
        </w:rPr>
        <w:t>, Melbourne Centre for the Study of Higher Education, Melbourne.</w:t>
      </w:r>
    </w:p>
    <w:p w:rsidR="000D5ABF" w:rsidRPr="000D5ABF" w:rsidRDefault="000D5ABF" w:rsidP="000D5ABF">
      <w:pPr>
        <w:rPr>
          <w:lang w:val="en-US"/>
        </w:rPr>
      </w:pPr>
      <w:r w:rsidRPr="000D5ABF">
        <w:rPr>
          <w:lang w:val="en-US"/>
        </w:rPr>
        <w:t xml:space="preserve">Bexley, E, Daroesman, S, Arkoudis, S &amp; James, R 2013, </w:t>
      </w:r>
      <w:r w:rsidRPr="00741EA3">
        <w:rPr>
          <w:i/>
          <w:lang w:val="en-US"/>
        </w:rPr>
        <w:t>University student finances in 2012: A study of the financial circumstances of domestic and international students in Australia’s universities</w:t>
      </w:r>
      <w:r w:rsidRPr="000D5ABF">
        <w:rPr>
          <w:lang w:val="en-US"/>
        </w:rPr>
        <w:t>, Universities Australia, Canberra.</w:t>
      </w:r>
    </w:p>
    <w:p w:rsidR="000D5ABF" w:rsidRPr="000D5ABF" w:rsidRDefault="000D5ABF" w:rsidP="000D5ABF">
      <w:pPr>
        <w:rPr>
          <w:lang w:val="en-US"/>
        </w:rPr>
      </w:pPr>
      <w:r w:rsidRPr="000D5ABF">
        <w:rPr>
          <w:lang w:val="en-US"/>
        </w:rPr>
        <w:t xml:space="preserve">Bills, D 2012, </w:t>
      </w:r>
      <w:r w:rsidRPr="00741EA3">
        <w:rPr>
          <w:i/>
          <w:lang w:val="en-US"/>
        </w:rPr>
        <w:t>Raising the participation and success of rural students in higher education: A longitudinal impact study of the Rural Connect Project at the University of South Australia</w:t>
      </w:r>
      <w:r w:rsidRPr="000D5ABF">
        <w:rPr>
          <w:lang w:val="en-US"/>
        </w:rPr>
        <w:t>, University of South Australia, Adelaide.</w:t>
      </w:r>
    </w:p>
    <w:p w:rsidR="000D5ABF" w:rsidRPr="000D5ABF" w:rsidRDefault="000D5ABF" w:rsidP="000D5ABF">
      <w:pPr>
        <w:rPr>
          <w:lang w:val="en-US"/>
        </w:rPr>
      </w:pPr>
      <w:r w:rsidRPr="000D5ABF">
        <w:rPr>
          <w:lang w:val="en-US"/>
        </w:rPr>
        <w:t xml:space="preserve">Blainey, G 1967, </w:t>
      </w:r>
      <w:r w:rsidRPr="00741EA3">
        <w:rPr>
          <w:i/>
          <w:lang w:val="en-US"/>
        </w:rPr>
        <w:t>The tyranny of distance: How distance shaped Australia’s history</w:t>
      </w:r>
      <w:r w:rsidRPr="000D5ABF">
        <w:rPr>
          <w:lang w:val="en-US"/>
        </w:rPr>
        <w:t>, Macmillan, Melbourne.</w:t>
      </w:r>
    </w:p>
    <w:p w:rsidR="000D5ABF" w:rsidRPr="000D5ABF" w:rsidRDefault="000D5ABF" w:rsidP="000D5ABF">
      <w:pPr>
        <w:rPr>
          <w:lang w:val="en-US"/>
        </w:rPr>
      </w:pPr>
      <w:r w:rsidRPr="000D5ABF">
        <w:rPr>
          <w:lang w:val="en-US"/>
        </w:rPr>
        <w:t xml:space="preserve">Bradley, D, Noonan, P, Nugent, H &amp; Scales, B 2008, </w:t>
      </w:r>
      <w:r w:rsidRPr="001D35AB">
        <w:rPr>
          <w:i/>
          <w:lang w:val="en-US"/>
        </w:rPr>
        <w:t>Review of Australian higher education: Final report</w:t>
      </w:r>
      <w:r w:rsidRPr="000D5ABF">
        <w:rPr>
          <w:lang w:val="en-US"/>
        </w:rPr>
        <w:t>, Department of Education, Employment and Workplace Relations, Canberra.</w:t>
      </w:r>
    </w:p>
    <w:p w:rsidR="000D5ABF" w:rsidRPr="000D5ABF" w:rsidRDefault="000D5ABF" w:rsidP="000D5ABF">
      <w:pPr>
        <w:rPr>
          <w:lang w:val="en-US"/>
        </w:rPr>
      </w:pPr>
      <w:r w:rsidRPr="000D5ABF">
        <w:rPr>
          <w:lang w:val="en-US"/>
        </w:rPr>
        <w:t xml:space="preserve">Dow, K 2011, </w:t>
      </w:r>
      <w:r w:rsidRPr="001D35AB">
        <w:rPr>
          <w:i/>
          <w:lang w:val="en-US"/>
        </w:rPr>
        <w:t>Review of student income support reforms</w:t>
      </w:r>
      <w:r w:rsidRPr="000D5ABF">
        <w:rPr>
          <w:lang w:val="en-US"/>
        </w:rPr>
        <w:t>, Department of Education, Employment and Workplace Relations, Canberra.</w:t>
      </w:r>
    </w:p>
    <w:p w:rsidR="000D5ABF" w:rsidRPr="000D5ABF" w:rsidRDefault="000D5ABF" w:rsidP="000D5ABF">
      <w:pPr>
        <w:rPr>
          <w:lang w:val="en-US"/>
        </w:rPr>
      </w:pPr>
      <w:r w:rsidRPr="000D5ABF">
        <w:rPr>
          <w:lang w:val="en-US"/>
        </w:rPr>
        <w:t xml:space="preserve">Fleming, M &amp; Grace, D 2014, ‘Increasing participation of rural and regional students in higher education’, </w:t>
      </w:r>
      <w:r w:rsidRPr="001D35AB">
        <w:rPr>
          <w:i/>
          <w:lang w:val="en-US"/>
        </w:rPr>
        <w:t>Journal of Higher Education Policy and Management</w:t>
      </w:r>
      <w:r w:rsidRPr="000D5ABF">
        <w:rPr>
          <w:lang w:val="en-US"/>
        </w:rPr>
        <w:t>, vol. 36, no. 5, pp. 483–495.</w:t>
      </w:r>
    </w:p>
    <w:p w:rsidR="000D5ABF" w:rsidRPr="000D5ABF" w:rsidRDefault="000D5ABF" w:rsidP="000D5ABF">
      <w:pPr>
        <w:rPr>
          <w:lang w:val="en-US"/>
        </w:rPr>
      </w:pPr>
      <w:r w:rsidRPr="000D5ABF">
        <w:rPr>
          <w:lang w:val="en-US"/>
        </w:rPr>
        <w:t xml:space="preserve">Godden, N 2007, </w:t>
      </w:r>
      <w:r w:rsidRPr="001D35AB">
        <w:rPr>
          <w:i/>
          <w:lang w:val="en-US"/>
        </w:rPr>
        <w:t>Regional young people and youth allowance: Access to tertiary education</w:t>
      </w:r>
      <w:r w:rsidRPr="000D5ABF">
        <w:rPr>
          <w:lang w:val="en-US"/>
        </w:rPr>
        <w:t>, Centre for Rural Social Research, Wagga Wagga.</w:t>
      </w:r>
    </w:p>
    <w:p w:rsidR="000D5ABF" w:rsidRPr="000D5ABF" w:rsidRDefault="000D5ABF" w:rsidP="000D5ABF">
      <w:pPr>
        <w:rPr>
          <w:lang w:val="en-US"/>
        </w:rPr>
      </w:pPr>
      <w:r w:rsidRPr="000D5ABF">
        <w:rPr>
          <w:lang w:val="en-US"/>
        </w:rPr>
        <w:t xml:space="preserve">Halliday-Wynes, S &amp; Nguyen, N 2014, </w:t>
      </w:r>
      <w:r w:rsidRPr="001D35AB">
        <w:rPr>
          <w:i/>
          <w:lang w:val="en-US"/>
        </w:rPr>
        <w:t>Does financial stress impact on y</w:t>
      </w:r>
      <w:r w:rsidR="001D35AB" w:rsidRPr="001D35AB">
        <w:rPr>
          <w:i/>
          <w:lang w:val="en-US"/>
        </w:rPr>
        <w:t>oung people in tertiary study?</w:t>
      </w:r>
      <w:r w:rsidR="001D35AB">
        <w:rPr>
          <w:lang w:val="en-US"/>
        </w:rPr>
        <w:t xml:space="preserve">, </w:t>
      </w:r>
      <w:r w:rsidRPr="000D5ABF">
        <w:rPr>
          <w:lang w:val="en-US"/>
        </w:rPr>
        <w:t>LSAY Research Report 68, National Centre for Vocational Education Research, Adelaide.</w:t>
      </w:r>
    </w:p>
    <w:p w:rsidR="000D5ABF" w:rsidRPr="000D5ABF" w:rsidRDefault="000D5ABF" w:rsidP="000D5ABF">
      <w:pPr>
        <w:rPr>
          <w:lang w:val="en-US"/>
        </w:rPr>
      </w:pPr>
      <w:r w:rsidRPr="000D5ABF">
        <w:rPr>
          <w:lang w:val="en-US"/>
        </w:rPr>
        <w:t>Harvey, A &amp; Andrewartha, L 2013, ‘Dr Who? Equity and diversity among university postgraduate and higher degree cohorts’, Journal of Higher Education Policy and Management, vol. 35, no. 2, pp. 112– 123.</w:t>
      </w:r>
    </w:p>
    <w:p w:rsidR="00AC3E00" w:rsidRDefault="00AC3E00" w:rsidP="000D5ABF">
      <w:pPr>
        <w:rPr>
          <w:lang w:val="en-US"/>
        </w:rPr>
      </w:pPr>
    </w:p>
    <w:p w:rsidR="000D5ABF" w:rsidRPr="000D5ABF" w:rsidRDefault="000D5ABF" w:rsidP="000D5ABF">
      <w:pPr>
        <w:rPr>
          <w:lang w:val="en-US"/>
        </w:rPr>
      </w:pPr>
      <w:r w:rsidRPr="000D5ABF">
        <w:rPr>
          <w:lang w:val="en-US"/>
        </w:rPr>
        <w:t xml:space="preserve">Heagney, M 2010, </w:t>
      </w:r>
      <w:r w:rsidRPr="00AC3E00">
        <w:rPr>
          <w:i/>
          <w:lang w:val="en-US"/>
        </w:rPr>
        <w:t>Beyond Bradley: Equity for postgraduates</w:t>
      </w:r>
      <w:r w:rsidRPr="000D5ABF">
        <w:rPr>
          <w:lang w:val="en-US"/>
        </w:rPr>
        <w:t>, Australasian Association for Institutional Research Conference, Geelong, 10 November, viewed July 2015</w:t>
      </w:r>
      <w:r w:rsidR="00AC3E00">
        <w:rPr>
          <w:lang w:val="en-US"/>
        </w:rPr>
        <w:t xml:space="preserve"> </w:t>
      </w:r>
      <w:r w:rsidRPr="000D5ABF">
        <w:rPr>
          <w:lang w:val="en-US"/>
        </w:rPr>
        <w:t>http://www.aair.org.au/app/webroot/media/pdf/AAIR%20Fora/ Forum%202010/ 21Heagney.pdf.</w:t>
      </w:r>
    </w:p>
    <w:p w:rsidR="000D5ABF" w:rsidRPr="000D5ABF" w:rsidRDefault="000D5ABF" w:rsidP="000D5ABF">
      <w:pPr>
        <w:rPr>
          <w:lang w:val="en-US"/>
        </w:rPr>
      </w:pPr>
      <w:r w:rsidRPr="000D5ABF">
        <w:rPr>
          <w:lang w:val="en-US"/>
        </w:rPr>
        <w:t xml:space="preserve">James, R, Krause, KL &amp; Jennings, C, 2010, </w:t>
      </w:r>
      <w:r w:rsidRPr="00AC3E00">
        <w:rPr>
          <w:i/>
          <w:lang w:val="en-US"/>
        </w:rPr>
        <w:t>The First Year Experience in Australian Universities: Findings from 1994 to 2009</w:t>
      </w:r>
      <w:r w:rsidRPr="000D5ABF">
        <w:rPr>
          <w:lang w:val="en-US"/>
        </w:rPr>
        <w:t>, Centre for the Study of Higher Education, the University of Melbourne and Griffith Institute for Higher Education, Griffith Universi</w:t>
      </w:r>
      <w:r w:rsidR="00AC3E00">
        <w:rPr>
          <w:lang w:val="en-US"/>
        </w:rPr>
        <w:t>ty.</w:t>
      </w:r>
    </w:p>
    <w:p w:rsidR="000D5ABF" w:rsidRPr="000D5ABF" w:rsidRDefault="000D5ABF" w:rsidP="000D5ABF">
      <w:pPr>
        <w:rPr>
          <w:lang w:val="en-US"/>
        </w:rPr>
      </w:pPr>
      <w:r w:rsidRPr="000D5ABF">
        <w:rPr>
          <w:lang w:val="en-US"/>
        </w:rPr>
        <w:t xml:space="preserve">Kemp, D &amp; Norton, A 2014, </w:t>
      </w:r>
      <w:r w:rsidRPr="00AC3E00">
        <w:rPr>
          <w:i/>
          <w:lang w:val="en-US"/>
        </w:rPr>
        <w:t>Review of the demand driven funding system: Final report</w:t>
      </w:r>
      <w:r w:rsidRPr="000D5ABF">
        <w:rPr>
          <w:lang w:val="en-US"/>
        </w:rPr>
        <w:t>, Department of Education and Training, Canberra.</w:t>
      </w:r>
    </w:p>
    <w:p w:rsidR="000D5ABF" w:rsidRPr="000D5ABF" w:rsidRDefault="000D5ABF" w:rsidP="000D5ABF">
      <w:pPr>
        <w:rPr>
          <w:lang w:val="en-US"/>
        </w:rPr>
      </w:pPr>
      <w:r w:rsidRPr="000D5ABF">
        <w:rPr>
          <w:lang w:val="en-US"/>
        </w:rPr>
        <w:t xml:space="preserve">Krause, K, Hartley, R, James, R &amp; McInnis, C 2005, </w:t>
      </w:r>
      <w:r w:rsidRPr="00AC3E00">
        <w:rPr>
          <w:i/>
          <w:lang w:val="en-US"/>
        </w:rPr>
        <w:t>The first year experience in Australian universities: Findings from a decade of national studies</w:t>
      </w:r>
      <w:r w:rsidRPr="000D5ABF">
        <w:rPr>
          <w:lang w:val="en-US"/>
        </w:rPr>
        <w:t>, Centre for the Study of Higher Education, University of Melbourne, Melbourne.</w:t>
      </w:r>
    </w:p>
    <w:p w:rsidR="000D5ABF" w:rsidRPr="000D5ABF" w:rsidRDefault="000D5ABF" w:rsidP="000D5ABF">
      <w:pPr>
        <w:rPr>
          <w:lang w:val="en-US"/>
        </w:rPr>
      </w:pPr>
      <w:r w:rsidRPr="000D5ABF">
        <w:rPr>
          <w:lang w:val="en-US"/>
        </w:rPr>
        <w:t xml:space="preserve">Lewis, C, Dickson-Swift, V, Talbot, L &amp; Snow, P 2007, ‘Regional tertiary students and living away from home: A priceless experience that costs too much?’, </w:t>
      </w:r>
      <w:r w:rsidRPr="006565C6">
        <w:rPr>
          <w:i/>
          <w:lang w:val="en-US"/>
        </w:rPr>
        <w:t>Australian Journal of Social Issues</w:t>
      </w:r>
      <w:r w:rsidRPr="000D5ABF">
        <w:rPr>
          <w:lang w:val="en-US"/>
        </w:rPr>
        <w:t>, vol. 42, no. 4, pp. 531–547.</w:t>
      </w:r>
    </w:p>
    <w:p w:rsidR="000D5ABF" w:rsidRPr="000D5ABF" w:rsidRDefault="000D5ABF" w:rsidP="000D5ABF">
      <w:pPr>
        <w:rPr>
          <w:lang w:val="en-US"/>
        </w:rPr>
      </w:pPr>
      <w:r w:rsidRPr="000D5ABF">
        <w:rPr>
          <w:lang w:val="en-US"/>
        </w:rPr>
        <w:t xml:space="preserve">Marginson, S 2014, ‘Student Self-Formation in International Education’, </w:t>
      </w:r>
      <w:r w:rsidRPr="006565C6">
        <w:rPr>
          <w:i/>
          <w:lang w:val="en-US"/>
        </w:rPr>
        <w:t>Journal of Studies in International Education</w:t>
      </w:r>
      <w:r w:rsidRPr="000D5ABF">
        <w:rPr>
          <w:lang w:val="en-US"/>
        </w:rPr>
        <w:t>, vol. 18, no. 1, pp. 6–22.</w:t>
      </w:r>
    </w:p>
    <w:p w:rsidR="000D5ABF" w:rsidRPr="000D5ABF" w:rsidRDefault="000D5ABF" w:rsidP="000D5ABF">
      <w:pPr>
        <w:rPr>
          <w:lang w:val="en-US"/>
        </w:rPr>
      </w:pPr>
      <w:r w:rsidRPr="000D5ABF">
        <w:rPr>
          <w:lang w:val="en-US"/>
        </w:rPr>
        <w:t>National Rural Health Alliance and ACOSS 2013, 'A snapshot of poverty in rural and regional Australia', accessed 3 February 2016 http://ruralhealth.org.au/documents/publicseminars/2013_Sep/Joint-report.pdf.</w:t>
      </w:r>
    </w:p>
    <w:p w:rsidR="000D5ABF" w:rsidRPr="000D5ABF" w:rsidRDefault="000D5ABF" w:rsidP="000D5ABF">
      <w:pPr>
        <w:rPr>
          <w:lang w:val="en-US"/>
        </w:rPr>
      </w:pPr>
      <w:r w:rsidRPr="000D5ABF">
        <w:rPr>
          <w:lang w:val="en-US"/>
        </w:rPr>
        <w:t xml:space="preserve">Norton, A &amp; Cherastidtham, I 2014, </w:t>
      </w:r>
      <w:r w:rsidRPr="006565C6">
        <w:rPr>
          <w:i/>
          <w:lang w:val="en-US"/>
        </w:rPr>
        <w:t>Mapping Australian higher education 2014–15</w:t>
      </w:r>
      <w:r w:rsidRPr="000D5ABF">
        <w:rPr>
          <w:lang w:val="en-US"/>
        </w:rPr>
        <w:t>, Grattan Institute, Melbourne.</w:t>
      </w:r>
    </w:p>
    <w:p w:rsidR="000D5ABF" w:rsidRPr="000D5ABF" w:rsidRDefault="000D5ABF" w:rsidP="000D5ABF">
      <w:pPr>
        <w:rPr>
          <w:lang w:val="en-US"/>
        </w:rPr>
      </w:pPr>
      <w:r w:rsidRPr="000D5ABF">
        <w:rPr>
          <w:lang w:val="en-US"/>
        </w:rPr>
        <w:t xml:space="preserve">Pagnini, D, Stylianou, M, Kok, B &amp; Johnson, D 2014, </w:t>
      </w:r>
      <w:r w:rsidRPr="00A83700">
        <w:rPr>
          <w:i/>
          <w:lang w:val="en-US"/>
        </w:rPr>
        <w:t>Towards a performance measurement framework for equity in higher education</w:t>
      </w:r>
      <w:r w:rsidRPr="000D5ABF">
        <w:rPr>
          <w:lang w:val="en-US"/>
        </w:rPr>
        <w:t>, Australian Institute of Health and Wellbeing, Canberra.</w:t>
      </w:r>
    </w:p>
    <w:p w:rsidR="000D5ABF" w:rsidRPr="000D5ABF" w:rsidRDefault="000D5ABF" w:rsidP="000D5ABF">
      <w:pPr>
        <w:rPr>
          <w:lang w:val="en-US"/>
        </w:rPr>
      </w:pPr>
      <w:r w:rsidRPr="000D5ABF">
        <w:rPr>
          <w:lang w:val="en-US"/>
        </w:rPr>
        <w:t xml:space="preserve">Polesel, J 2009, ‘Deferring a university offer in rural Australia’, </w:t>
      </w:r>
      <w:r w:rsidRPr="009F2FDA">
        <w:rPr>
          <w:i/>
          <w:lang w:val="en-US"/>
        </w:rPr>
        <w:t>Australian Journal of Education</w:t>
      </w:r>
      <w:r w:rsidRPr="000D5ABF">
        <w:rPr>
          <w:lang w:val="en-US"/>
        </w:rPr>
        <w:t>, vol. 53, no. 1, pp. 87–103.</w:t>
      </w:r>
    </w:p>
    <w:p w:rsidR="000D5ABF" w:rsidRPr="000D5ABF" w:rsidRDefault="000D5ABF" w:rsidP="000D5ABF">
      <w:pPr>
        <w:rPr>
          <w:lang w:val="en-US"/>
        </w:rPr>
      </w:pPr>
      <w:r w:rsidRPr="000D5ABF">
        <w:rPr>
          <w:lang w:val="en-US"/>
        </w:rPr>
        <w:t xml:space="preserve">Polesel, J &amp; Klatt, M 2014, ‘University deferrers in metropolitan and non-metropolitan Victoria: A longitudinal study’, </w:t>
      </w:r>
      <w:r w:rsidRPr="009F2FDA">
        <w:rPr>
          <w:i/>
          <w:lang w:val="en-US"/>
        </w:rPr>
        <w:t>Australian Journal of Education</w:t>
      </w:r>
      <w:r w:rsidRPr="000D5ABF">
        <w:rPr>
          <w:lang w:val="en-US"/>
        </w:rPr>
        <w:t>, vol. 58, no. 2, pp. 182–194.</w:t>
      </w:r>
    </w:p>
    <w:p w:rsidR="000D5ABF" w:rsidRPr="000D5ABF" w:rsidRDefault="000D5ABF" w:rsidP="000D5ABF">
      <w:pPr>
        <w:rPr>
          <w:lang w:val="en-US"/>
        </w:rPr>
      </w:pPr>
      <w:r w:rsidRPr="000D5ABF">
        <w:rPr>
          <w:lang w:val="en-US"/>
        </w:rPr>
        <w:t xml:space="preserve">Richardson, S &amp; Friedman, T 2010, </w:t>
      </w:r>
      <w:r w:rsidRPr="009F2FDA">
        <w:rPr>
          <w:i/>
          <w:lang w:val="en-US"/>
        </w:rPr>
        <w:t>Australian regional higher education: Student characteristics and experiences</w:t>
      </w:r>
      <w:r w:rsidRPr="000D5ABF">
        <w:rPr>
          <w:lang w:val="en-US"/>
        </w:rPr>
        <w:t>, Australian Council of Educational Research, Melbourne</w:t>
      </w:r>
    </w:p>
    <w:p w:rsidR="000D5ABF" w:rsidRPr="000D5ABF" w:rsidRDefault="000D5ABF" w:rsidP="000D5ABF">
      <w:pPr>
        <w:rPr>
          <w:lang w:val="en-US"/>
        </w:rPr>
      </w:pPr>
      <w:r w:rsidRPr="000D5ABF">
        <w:rPr>
          <w:lang w:val="en-US"/>
        </w:rPr>
        <w:t xml:space="preserve">Senate Rural and Regional Affairs and Transport References Committee 2009, </w:t>
      </w:r>
      <w:r w:rsidRPr="0045137A">
        <w:rPr>
          <w:i/>
          <w:lang w:val="en-US"/>
        </w:rPr>
        <w:t>Rural and regional access to secondary and tertiary education opportunities</w:t>
      </w:r>
      <w:r w:rsidRPr="000D5ABF">
        <w:rPr>
          <w:lang w:val="en-US"/>
        </w:rPr>
        <w:t>, Government Printer, Canberra.</w:t>
      </w:r>
    </w:p>
    <w:p w:rsidR="000D5ABF" w:rsidRPr="000D5ABF" w:rsidRDefault="000D5ABF" w:rsidP="000D5ABF">
      <w:pPr>
        <w:rPr>
          <w:lang w:val="en-US"/>
        </w:rPr>
      </w:pPr>
      <w:r w:rsidRPr="000D5ABF">
        <w:rPr>
          <w:lang w:val="en-US"/>
        </w:rPr>
        <w:t xml:space="preserve">Townsend, R 2010, ‘Developing 21st century diverse adult learning: Rural and regional student sccess, progression and success in higher education’, </w:t>
      </w:r>
      <w:r w:rsidRPr="0045137A">
        <w:rPr>
          <w:i/>
          <w:lang w:val="en-US"/>
        </w:rPr>
        <w:t>The International Journal of Learning</w:t>
      </w:r>
      <w:r w:rsidRPr="000D5ABF">
        <w:rPr>
          <w:lang w:val="en-US"/>
        </w:rPr>
        <w:t>, vol. 17, no. 2, pp. 329–341.</w:t>
      </w:r>
    </w:p>
    <w:p w:rsidR="000D5ABF" w:rsidRPr="000D5ABF" w:rsidRDefault="000D5ABF" w:rsidP="000D5ABF">
      <w:pPr>
        <w:rPr>
          <w:lang w:val="en-US"/>
        </w:rPr>
      </w:pPr>
      <w:r w:rsidRPr="000D5ABF">
        <w:rPr>
          <w:lang w:val="en-US"/>
        </w:rPr>
        <w:t xml:space="preserve">van Reyk, P 2012, </w:t>
      </w:r>
      <w:r w:rsidRPr="0045137A">
        <w:rPr>
          <w:i/>
          <w:lang w:val="en-US"/>
        </w:rPr>
        <w:t>Under the radar: The impact of housing on the access of regional students to higher education in Sydney</w:t>
      </w:r>
      <w:r w:rsidRPr="000D5ABF">
        <w:rPr>
          <w:lang w:val="en-US"/>
        </w:rPr>
        <w:t>, Shelter NSW and Yfoundations, Sydney.</w:t>
      </w:r>
    </w:p>
    <w:p w:rsidR="000D5ABF" w:rsidRPr="000D5ABF" w:rsidRDefault="000D5ABF" w:rsidP="000D5ABF">
      <w:pPr>
        <w:rPr>
          <w:lang w:val="en-US"/>
        </w:rPr>
      </w:pPr>
      <w:r w:rsidRPr="000D5ABF">
        <w:rPr>
          <w:lang w:val="en-US"/>
        </w:rPr>
        <w:t xml:space="preserve">Wang, J 2012, ‘A journey of intercultural and learning adaptation: International students learning experiences at one Australian university’, </w:t>
      </w:r>
      <w:r w:rsidRPr="0045137A">
        <w:rPr>
          <w:i/>
          <w:lang w:val="en-US"/>
        </w:rPr>
        <w:t>International Jou</w:t>
      </w:r>
      <w:r w:rsidR="0045137A" w:rsidRPr="0045137A">
        <w:rPr>
          <w:i/>
          <w:lang w:val="en-US"/>
        </w:rPr>
        <w:t>r</w:t>
      </w:r>
      <w:r w:rsidRPr="0045137A">
        <w:rPr>
          <w:i/>
          <w:lang w:val="en-US"/>
        </w:rPr>
        <w:t>nal of Asian Social Science</w:t>
      </w:r>
      <w:r w:rsidRPr="000D5ABF">
        <w:rPr>
          <w:lang w:val="en-US"/>
        </w:rPr>
        <w:t>, vol. 2, no. 7, pp. 1140–1150.</w:t>
      </w:r>
    </w:p>
    <w:p w:rsidR="00FE12E1" w:rsidRDefault="000D5ABF" w:rsidP="000D5ABF">
      <w:pPr>
        <w:rPr>
          <w:lang w:val="en-US"/>
        </w:rPr>
      </w:pPr>
      <w:r w:rsidRPr="000D5ABF">
        <w:rPr>
          <w:lang w:val="en-US"/>
        </w:rPr>
        <w:t xml:space="preserve">Wilks, J &amp; Wilson, K 2012, ‘Going on to uni? Access and participation in university for students from backgrounds of disadvantage’ </w:t>
      </w:r>
      <w:r w:rsidRPr="0045137A">
        <w:rPr>
          <w:i/>
          <w:lang w:val="en-US"/>
        </w:rPr>
        <w:t>Journal of Higher Education Policy and Management</w:t>
      </w:r>
      <w:r w:rsidRPr="000D5ABF">
        <w:rPr>
          <w:lang w:val="en-US"/>
        </w:rPr>
        <w:t>, vol. 34, no. 1, pp. 79–90.</w:t>
      </w:r>
    </w:p>
    <w:p w:rsidR="00FE12E1" w:rsidRDefault="00FE12E1">
      <w:pPr>
        <w:spacing w:after="0"/>
        <w:rPr>
          <w:lang w:val="en-US"/>
        </w:rPr>
      </w:pPr>
      <w:r>
        <w:rPr>
          <w:lang w:val="en-US"/>
        </w:rPr>
        <w:br w:type="page"/>
      </w:r>
    </w:p>
    <w:p w:rsidR="000D5ABF" w:rsidRDefault="00FE12E1" w:rsidP="00FE12E1">
      <w:pPr>
        <w:pStyle w:val="Heading1"/>
        <w:rPr>
          <w:lang w:val="en-US"/>
        </w:rPr>
      </w:pPr>
      <w:bookmarkStart w:id="83" w:name="_Toc517270352"/>
      <w:r>
        <w:rPr>
          <w:lang w:val="en-US"/>
        </w:rPr>
        <w:t>Appendix A</w:t>
      </w:r>
      <w:bookmarkEnd w:id="83"/>
    </w:p>
    <w:p w:rsidR="00FE12E1" w:rsidRDefault="00FE12E1" w:rsidP="00FE12E1">
      <w:pPr>
        <w:pStyle w:val="Heading2"/>
        <w:rPr>
          <w:lang w:val="en-US"/>
        </w:rPr>
      </w:pPr>
      <w:bookmarkStart w:id="84" w:name="_Toc517270353"/>
      <w:r>
        <w:rPr>
          <w:lang w:val="en-US"/>
        </w:rPr>
        <w:t>Summary or Originating Rural and Remote Locations of Participants</w:t>
      </w:r>
      <w:bookmarkEnd w:id="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85" w:type="dxa"/>
          <w:bottom w:w="11" w:type="dxa"/>
          <w:right w:w="85" w:type="dxa"/>
        </w:tblCellMar>
        <w:tblLook w:val="01E0" w:firstRow="1" w:lastRow="1" w:firstColumn="1" w:lastColumn="1" w:noHBand="0" w:noVBand="0"/>
        <w:tblCaption w:val="Appendix A"/>
        <w:tblDescription w:val="Table displaying the summary of originating rural and remote locations of participants, split into ASGS classification, town, and postcode. Segmented into four sections: inner regional, outer regional, remote and very remote."/>
      </w:tblPr>
      <w:tblGrid>
        <w:gridCol w:w="3005"/>
        <w:gridCol w:w="3005"/>
        <w:gridCol w:w="3006"/>
      </w:tblGrid>
      <w:tr w:rsidR="00FE12E1" w:rsidRPr="000105A0" w:rsidTr="008333FA">
        <w:trPr>
          <w:tblHeader/>
        </w:trPr>
        <w:tc>
          <w:tcPr>
            <w:tcW w:w="1666" w:type="pct"/>
            <w:tcBorders>
              <w:bottom w:val="single" w:sz="4" w:space="0" w:color="auto"/>
            </w:tcBorders>
            <w:shd w:val="clear" w:color="auto" w:fill="5B9BD5" w:themeFill="accent1"/>
          </w:tcPr>
          <w:p w:rsidR="00FE12E1" w:rsidRPr="000105A0" w:rsidRDefault="00FE12E1" w:rsidP="000105A0">
            <w:pPr>
              <w:pStyle w:val="TableText"/>
              <w:rPr>
                <w:b/>
                <w:color w:val="FFFFFF" w:themeColor="background1"/>
              </w:rPr>
            </w:pPr>
            <w:r w:rsidRPr="000105A0">
              <w:rPr>
                <w:b/>
                <w:color w:val="FFFFFF" w:themeColor="background1"/>
              </w:rPr>
              <w:t>ASGS</w:t>
            </w:r>
            <w:r w:rsidR="000105A0">
              <w:rPr>
                <w:b/>
                <w:color w:val="FFFFFF" w:themeColor="background1"/>
              </w:rPr>
              <w:t xml:space="preserve"> </w:t>
            </w:r>
            <w:r w:rsidRPr="000105A0">
              <w:rPr>
                <w:b/>
                <w:color w:val="FFFFFF" w:themeColor="background1"/>
              </w:rPr>
              <w:t>Classification</w:t>
            </w:r>
          </w:p>
        </w:tc>
        <w:tc>
          <w:tcPr>
            <w:tcW w:w="1666" w:type="pct"/>
            <w:tcBorders>
              <w:bottom w:val="single" w:sz="4" w:space="0" w:color="auto"/>
            </w:tcBorders>
            <w:shd w:val="clear" w:color="auto" w:fill="5B9BD5" w:themeFill="accent1"/>
          </w:tcPr>
          <w:p w:rsidR="00FE12E1" w:rsidRPr="000105A0" w:rsidRDefault="00FE12E1" w:rsidP="000105A0">
            <w:pPr>
              <w:pStyle w:val="TableText"/>
              <w:rPr>
                <w:b/>
                <w:color w:val="FFFFFF" w:themeColor="background1"/>
              </w:rPr>
            </w:pPr>
            <w:r w:rsidRPr="000105A0">
              <w:rPr>
                <w:b/>
                <w:color w:val="FFFFFF" w:themeColor="background1"/>
              </w:rPr>
              <w:t>Town</w:t>
            </w:r>
          </w:p>
        </w:tc>
        <w:tc>
          <w:tcPr>
            <w:tcW w:w="1667" w:type="pct"/>
            <w:tcBorders>
              <w:bottom w:val="single" w:sz="4" w:space="0" w:color="auto"/>
            </w:tcBorders>
            <w:shd w:val="clear" w:color="auto" w:fill="5B9BD5" w:themeFill="accent1"/>
          </w:tcPr>
          <w:p w:rsidR="00FE12E1" w:rsidRPr="000105A0" w:rsidRDefault="00FE12E1" w:rsidP="000105A0">
            <w:pPr>
              <w:pStyle w:val="TableText"/>
              <w:rPr>
                <w:b/>
                <w:color w:val="FFFFFF" w:themeColor="background1"/>
              </w:rPr>
            </w:pPr>
            <w:r w:rsidRPr="000105A0">
              <w:rPr>
                <w:b/>
                <w:color w:val="FFFFFF" w:themeColor="background1"/>
              </w:rPr>
              <w:t>Postcode</w:t>
            </w:r>
          </w:p>
        </w:tc>
      </w:tr>
      <w:tr w:rsidR="00FE12E1" w:rsidRPr="000105A0" w:rsidTr="008333FA">
        <w:tc>
          <w:tcPr>
            <w:tcW w:w="1666" w:type="pct"/>
            <w:tcBorders>
              <w:top w:val="single" w:sz="4" w:space="0" w:color="auto"/>
              <w:left w:val="single" w:sz="4" w:space="0" w:color="auto"/>
              <w:bottom w:val="single" w:sz="4" w:space="0" w:color="auto"/>
              <w:right w:val="nil"/>
            </w:tcBorders>
            <w:shd w:val="clear" w:color="auto" w:fill="BDD6EE" w:themeFill="accent1" w:themeFillTint="66"/>
          </w:tcPr>
          <w:p w:rsidR="00FE12E1" w:rsidRPr="000105A0" w:rsidRDefault="00FE12E1" w:rsidP="000105A0">
            <w:pPr>
              <w:pStyle w:val="TableText"/>
              <w:rPr>
                <w:b/>
              </w:rPr>
            </w:pPr>
            <w:r w:rsidRPr="000105A0">
              <w:rPr>
                <w:b/>
              </w:rPr>
              <w:t>Inner Regional</w:t>
            </w:r>
          </w:p>
        </w:tc>
        <w:tc>
          <w:tcPr>
            <w:tcW w:w="1666" w:type="pct"/>
            <w:tcBorders>
              <w:top w:val="single" w:sz="4" w:space="0" w:color="auto"/>
              <w:left w:val="nil"/>
              <w:bottom w:val="single" w:sz="4" w:space="0" w:color="auto"/>
              <w:right w:val="nil"/>
            </w:tcBorders>
            <w:shd w:val="clear" w:color="auto" w:fill="BDD6EE" w:themeFill="accent1" w:themeFillTint="66"/>
          </w:tcPr>
          <w:p w:rsidR="00FE12E1" w:rsidRPr="000105A0" w:rsidRDefault="00FE12E1" w:rsidP="000105A0">
            <w:pPr>
              <w:pStyle w:val="TableText"/>
            </w:pPr>
          </w:p>
        </w:tc>
        <w:tc>
          <w:tcPr>
            <w:tcW w:w="1667" w:type="pct"/>
            <w:tcBorders>
              <w:top w:val="single" w:sz="4" w:space="0" w:color="auto"/>
              <w:left w:val="nil"/>
              <w:bottom w:val="single" w:sz="4" w:space="0" w:color="auto"/>
              <w:right w:val="single" w:sz="4" w:space="0" w:color="auto"/>
            </w:tcBorders>
            <w:shd w:val="clear" w:color="auto" w:fill="BDD6EE" w:themeFill="accent1" w:themeFillTint="66"/>
          </w:tcPr>
          <w:p w:rsidR="00FE12E1" w:rsidRPr="000105A0" w:rsidRDefault="00FE12E1" w:rsidP="000105A0">
            <w:pPr>
              <w:pStyle w:val="TableText"/>
            </w:pPr>
          </w:p>
        </w:tc>
      </w:tr>
      <w:tr w:rsidR="00FE12E1" w:rsidRPr="000105A0" w:rsidTr="008333FA">
        <w:tc>
          <w:tcPr>
            <w:tcW w:w="1666" w:type="pct"/>
            <w:tcBorders>
              <w:top w:val="single" w:sz="4" w:space="0" w:color="auto"/>
            </w:tcBorders>
          </w:tcPr>
          <w:p w:rsidR="00FE12E1" w:rsidRPr="000105A0" w:rsidRDefault="00FE12E1" w:rsidP="000105A0">
            <w:pPr>
              <w:pStyle w:val="TableText"/>
            </w:pPr>
          </w:p>
        </w:tc>
        <w:tc>
          <w:tcPr>
            <w:tcW w:w="1666" w:type="pct"/>
            <w:tcBorders>
              <w:top w:val="single" w:sz="4" w:space="0" w:color="auto"/>
            </w:tcBorders>
          </w:tcPr>
          <w:p w:rsidR="00FE12E1" w:rsidRPr="000105A0" w:rsidRDefault="00FE12E1" w:rsidP="000105A0">
            <w:pPr>
              <w:pStyle w:val="TableText"/>
            </w:pPr>
            <w:r w:rsidRPr="000105A0">
              <w:t>Victor Harbor</w:t>
            </w:r>
          </w:p>
        </w:tc>
        <w:tc>
          <w:tcPr>
            <w:tcW w:w="1667" w:type="pct"/>
            <w:tcBorders>
              <w:top w:val="single" w:sz="4" w:space="0" w:color="auto"/>
            </w:tcBorders>
          </w:tcPr>
          <w:p w:rsidR="00FE12E1" w:rsidRPr="000105A0" w:rsidRDefault="00FE12E1" w:rsidP="000105A0">
            <w:pPr>
              <w:pStyle w:val="TableText"/>
            </w:pPr>
            <w:r w:rsidRPr="000105A0">
              <w:t>5211</w:t>
            </w:r>
          </w:p>
        </w:tc>
      </w:tr>
      <w:tr w:rsidR="00FE12E1" w:rsidRPr="000105A0" w:rsidTr="008333FA">
        <w:tc>
          <w:tcPr>
            <w:tcW w:w="1666" w:type="pct"/>
          </w:tcPr>
          <w:p w:rsidR="00FE12E1" w:rsidRPr="000105A0" w:rsidRDefault="00FE12E1" w:rsidP="000105A0">
            <w:pPr>
              <w:pStyle w:val="TableText"/>
            </w:pPr>
          </w:p>
        </w:tc>
        <w:tc>
          <w:tcPr>
            <w:tcW w:w="1666" w:type="pct"/>
          </w:tcPr>
          <w:p w:rsidR="00FE12E1" w:rsidRPr="000105A0" w:rsidRDefault="00FE12E1" w:rsidP="000105A0">
            <w:pPr>
              <w:pStyle w:val="TableText"/>
            </w:pPr>
            <w:r w:rsidRPr="000105A0">
              <w:t>Goolwa</w:t>
            </w:r>
          </w:p>
        </w:tc>
        <w:tc>
          <w:tcPr>
            <w:tcW w:w="1667" w:type="pct"/>
          </w:tcPr>
          <w:p w:rsidR="00FE12E1" w:rsidRPr="000105A0" w:rsidRDefault="00FE12E1" w:rsidP="000105A0">
            <w:pPr>
              <w:pStyle w:val="TableText"/>
            </w:pPr>
            <w:r w:rsidRPr="000105A0">
              <w:t>5214</w:t>
            </w:r>
          </w:p>
        </w:tc>
      </w:tr>
      <w:tr w:rsidR="00FE12E1" w:rsidRPr="000105A0" w:rsidTr="008333FA">
        <w:tc>
          <w:tcPr>
            <w:tcW w:w="1666" w:type="pct"/>
          </w:tcPr>
          <w:p w:rsidR="00FE12E1" w:rsidRPr="000105A0" w:rsidRDefault="00FE12E1" w:rsidP="000105A0">
            <w:pPr>
              <w:pStyle w:val="TableText"/>
            </w:pPr>
          </w:p>
        </w:tc>
        <w:tc>
          <w:tcPr>
            <w:tcW w:w="1666" w:type="pct"/>
          </w:tcPr>
          <w:p w:rsidR="00FE12E1" w:rsidRPr="000105A0" w:rsidRDefault="00FE12E1" w:rsidP="000105A0">
            <w:pPr>
              <w:pStyle w:val="TableText"/>
            </w:pPr>
            <w:r w:rsidRPr="000105A0">
              <w:t>Kersbrook</w:t>
            </w:r>
          </w:p>
        </w:tc>
        <w:tc>
          <w:tcPr>
            <w:tcW w:w="1667" w:type="pct"/>
          </w:tcPr>
          <w:p w:rsidR="00FE12E1" w:rsidRPr="000105A0" w:rsidRDefault="00FE12E1" w:rsidP="000105A0">
            <w:pPr>
              <w:pStyle w:val="TableText"/>
            </w:pPr>
            <w:r w:rsidRPr="000105A0">
              <w:t>5231</w:t>
            </w:r>
          </w:p>
        </w:tc>
      </w:tr>
      <w:tr w:rsidR="00FE12E1" w:rsidRPr="000105A0" w:rsidTr="008333FA">
        <w:tc>
          <w:tcPr>
            <w:tcW w:w="1666" w:type="pct"/>
          </w:tcPr>
          <w:p w:rsidR="00FE12E1" w:rsidRPr="000105A0" w:rsidRDefault="00FE12E1" w:rsidP="000105A0">
            <w:pPr>
              <w:pStyle w:val="TableText"/>
            </w:pPr>
          </w:p>
        </w:tc>
        <w:tc>
          <w:tcPr>
            <w:tcW w:w="1666" w:type="pct"/>
          </w:tcPr>
          <w:p w:rsidR="00FE12E1" w:rsidRPr="000105A0" w:rsidRDefault="00FE12E1" w:rsidP="000105A0">
            <w:pPr>
              <w:pStyle w:val="TableText"/>
            </w:pPr>
            <w:r w:rsidRPr="000105A0">
              <w:t>Gumeracha</w:t>
            </w:r>
          </w:p>
        </w:tc>
        <w:tc>
          <w:tcPr>
            <w:tcW w:w="1667" w:type="pct"/>
          </w:tcPr>
          <w:p w:rsidR="00FE12E1" w:rsidRPr="000105A0" w:rsidRDefault="00FE12E1" w:rsidP="000105A0">
            <w:pPr>
              <w:pStyle w:val="TableText"/>
            </w:pPr>
            <w:r w:rsidRPr="000105A0">
              <w:t>5233</w:t>
            </w:r>
          </w:p>
        </w:tc>
      </w:tr>
      <w:tr w:rsidR="00FE12E1" w:rsidRPr="000105A0" w:rsidTr="008333FA">
        <w:tc>
          <w:tcPr>
            <w:tcW w:w="1666" w:type="pct"/>
          </w:tcPr>
          <w:p w:rsidR="00FE12E1" w:rsidRPr="000105A0" w:rsidRDefault="00FE12E1" w:rsidP="000105A0">
            <w:pPr>
              <w:pStyle w:val="TableText"/>
            </w:pPr>
          </w:p>
        </w:tc>
        <w:tc>
          <w:tcPr>
            <w:tcW w:w="1666" w:type="pct"/>
          </w:tcPr>
          <w:p w:rsidR="00FE12E1" w:rsidRPr="000105A0" w:rsidRDefault="00FE12E1" w:rsidP="000105A0">
            <w:pPr>
              <w:pStyle w:val="TableText"/>
            </w:pPr>
            <w:r w:rsidRPr="000105A0">
              <w:t>Younghusband</w:t>
            </w:r>
          </w:p>
        </w:tc>
        <w:tc>
          <w:tcPr>
            <w:tcW w:w="1667" w:type="pct"/>
          </w:tcPr>
          <w:p w:rsidR="00FE12E1" w:rsidRPr="000105A0" w:rsidRDefault="00FE12E1" w:rsidP="000105A0">
            <w:pPr>
              <w:pStyle w:val="TableText"/>
            </w:pPr>
            <w:r w:rsidRPr="000105A0">
              <w:t>5238</w:t>
            </w:r>
          </w:p>
        </w:tc>
      </w:tr>
      <w:tr w:rsidR="00FE12E1" w:rsidRPr="000105A0" w:rsidTr="008333FA">
        <w:tc>
          <w:tcPr>
            <w:tcW w:w="1666" w:type="pct"/>
          </w:tcPr>
          <w:p w:rsidR="00FE12E1" w:rsidRPr="000105A0" w:rsidRDefault="00FE12E1" w:rsidP="000105A0">
            <w:pPr>
              <w:pStyle w:val="TableText"/>
            </w:pPr>
          </w:p>
        </w:tc>
        <w:tc>
          <w:tcPr>
            <w:tcW w:w="1666" w:type="pct"/>
          </w:tcPr>
          <w:p w:rsidR="00FE12E1" w:rsidRPr="000105A0" w:rsidRDefault="00FE12E1" w:rsidP="000105A0">
            <w:pPr>
              <w:pStyle w:val="TableText"/>
            </w:pPr>
            <w:r w:rsidRPr="000105A0">
              <w:t>Lobethal</w:t>
            </w:r>
          </w:p>
        </w:tc>
        <w:tc>
          <w:tcPr>
            <w:tcW w:w="1667" w:type="pct"/>
          </w:tcPr>
          <w:p w:rsidR="00FE12E1" w:rsidRPr="000105A0" w:rsidRDefault="00FE12E1" w:rsidP="000105A0">
            <w:pPr>
              <w:pStyle w:val="TableText"/>
            </w:pPr>
            <w:r w:rsidRPr="000105A0">
              <w:t>5241</w:t>
            </w:r>
          </w:p>
        </w:tc>
      </w:tr>
      <w:tr w:rsidR="00FE12E1" w:rsidRPr="000105A0" w:rsidTr="008333FA">
        <w:tc>
          <w:tcPr>
            <w:tcW w:w="1666" w:type="pct"/>
          </w:tcPr>
          <w:p w:rsidR="00FE12E1" w:rsidRPr="000105A0" w:rsidRDefault="00FE12E1" w:rsidP="000105A0">
            <w:pPr>
              <w:pStyle w:val="TableText"/>
            </w:pPr>
          </w:p>
        </w:tc>
        <w:tc>
          <w:tcPr>
            <w:tcW w:w="1666" w:type="pct"/>
          </w:tcPr>
          <w:p w:rsidR="00FE12E1" w:rsidRPr="000105A0" w:rsidRDefault="00FE12E1" w:rsidP="000105A0">
            <w:pPr>
              <w:pStyle w:val="TableText"/>
            </w:pPr>
            <w:r w:rsidRPr="000105A0">
              <w:t>Woodside</w:t>
            </w:r>
          </w:p>
        </w:tc>
        <w:tc>
          <w:tcPr>
            <w:tcW w:w="1667" w:type="pct"/>
          </w:tcPr>
          <w:p w:rsidR="00FE12E1" w:rsidRPr="000105A0" w:rsidRDefault="00FE12E1" w:rsidP="000105A0">
            <w:pPr>
              <w:pStyle w:val="TableText"/>
            </w:pPr>
            <w:r w:rsidRPr="000105A0">
              <w:t>5244</w:t>
            </w:r>
          </w:p>
        </w:tc>
      </w:tr>
      <w:tr w:rsidR="00FE12E1" w:rsidRPr="000105A0" w:rsidTr="008333FA">
        <w:tc>
          <w:tcPr>
            <w:tcW w:w="1666" w:type="pct"/>
          </w:tcPr>
          <w:p w:rsidR="00FE12E1" w:rsidRPr="000105A0" w:rsidRDefault="00FE12E1" w:rsidP="000105A0">
            <w:pPr>
              <w:pStyle w:val="TableText"/>
            </w:pPr>
          </w:p>
        </w:tc>
        <w:tc>
          <w:tcPr>
            <w:tcW w:w="1666" w:type="pct"/>
          </w:tcPr>
          <w:p w:rsidR="00FE12E1" w:rsidRPr="000105A0" w:rsidRDefault="00FE12E1" w:rsidP="000105A0">
            <w:pPr>
              <w:pStyle w:val="TableText"/>
            </w:pPr>
            <w:r w:rsidRPr="000105A0">
              <w:t>Verdun</w:t>
            </w:r>
          </w:p>
        </w:tc>
        <w:tc>
          <w:tcPr>
            <w:tcW w:w="1667" w:type="pct"/>
          </w:tcPr>
          <w:p w:rsidR="00FE12E1" w:rsidRPr="000105A0" w:rsidRDefault="00FE12E1" w:rsidP="000105A0">
            <w:pPr>
              <w:pStyle w:val="TableText"/>
            </w:pPr>
            <w:r w:rsidRPr="000105A0">
              <w:t>5245</w:t>
            </w:r>
          </w:p>
        </w:tc>
      </w:tr>
      <w:tr w:rsidR="00FE12E1" w:rsidRPr="000105A0" w:rsidTr="008333FA">
        <w:tc>
          <w:tcPr>
            <w:tcW w:w="1666" w:type="pct"/>
          </w:tcPr>
          <w:p w:rsidR="00FE12E1" w:rsidRPr="000105A0" w:rsidRDefault="00FE12E1" w:rsidP="000105A0">
            <w:pPr>
              <w:pStyle w:val="TableText"/>
            </w:pPr>
          </w:p>
        </w:tc>
        <w:tc>
          <w:tcPr>
            <w:tcW w:w="1666" w:type="pct"/>
          </w:tcPr>
          <w:p w:rsidR="00FE12E1" w:rsidRPr="000105A0" w:rsidRDefault="00FE12E1" w:rsidP="000105A0">
            <w:pPr>
              <w:pStyle w:val="TableText"/>
            </w:pPr>
            <w:r w:rsidRPr="000105A0">
              <w:t>Mount Barker</w:t>
            </w:r>
          </w:p>
        </w:tc>
        <w:tc>
          <w:tcPr>
            <w:tcW w:w="1667" w:type="pct"/>
          </w:tcPr>
          <w:p w:rsidR="00FE12E1" w:rsidRPr="000105A0" w:rsidRDefault="00FE12E1" w:rsidP="000105A0">
            <w:pPr>
              <w:pStyle w:val="TableText"/>
            </w:pPr>
            <w:r w:rsidRPr="000105A0">
              <w:t>5251</w:t>
            </w:r>
          </w:p>
        </w:tc>
      </w:tr>
      <w:tr w:rsidR="00FE12E1" w:rsidRPr="000105A0" w:rsidTr="008333FA">
        <w:tc>
          <w:tcPr>
            <w:tcW w:w="1666" w:type="pct"/>
          </w:tcPr>
          <w:p w:rsidR="00FE12E1" w:rsidRPr="000105A0" w:rsidRDefault="00FE12E1" w:rsidP="000105A0">
            <w:pPr>
              <w:pStyle w:val="TableText"/>
            </w:pPr>
          </w:p>
        </w:tc>
        <w:tc>
          <w:tcPr>
            <w:tcW w:w="1666" w:type="pct"/>
          </w:tcPr>
          <w:p w:rsidR="00FE12E1" w:rsidRPr="000105A0" w:rsidRDefault="00FE12E1" w:rsidP="000105A0">
            <w:pPr>
              <w:pStyle w:val="TableText"/>
            </w:pPr>
            <w:r w:rsidRPr="000105A0">
              <w:t>Murray Bridge</w:t>
            </w:r>
          </w:p>
        </w:tc>
        <w:tc>
          <w:tcPr>
            <w:tcW w:w="1667" w:type="pct"/>
          </w:tcPr>
          <w:p w:rsidR="00FE12E1" w:rsidRPr="000105A0" w:rsidRDefault="00FE12E1" w:rsidP="000105A0">
            <w:pPr>
              <w:pStyle w:val="TableText"/>
            </w:pPr>
            <w:r w:rsidRPr="000105A0">
              <w:t>5254</w:t>
            </w:r>
          </w:p>
        </w:tc>
      </w:tr>
      <w:tr w:rsidR="00FE12E1" w:rsidRPr="000105A0" w:rsidTr="008333FA">
        <w:tc>
          <w:tcPr>
            <w:tcW w:w="1666" w:type="pct"/>
          </w:tcPr>
          <w:p w:rsidR="00FE12E1" w:rsidRPr="000105A0" w:rsidRDefault="00FE12E1" w:rsidP="000105A0">
            <w:pPr>
              <w:pStyle w:val="TableText"/>
            </w:pPr>
          </w:p>
        </w:tc>
        <w:tc>
          <w:tcPr>
            <w:tcW w:w="1666" w:type="pct"/>
          </w:tcPr>
          <w:p w:rsidR="00FE12E1" w:rsidRPr="000105A0" w:rsidRDefault="00FE12E1" w:rsidP="000105A0">
            <w:pPr>
              <w:pStyle w:val="TableText"/>
            </w:pPr>
            <w:r w:rsidRPr="000105A0">
              <w:t>Strathalbyn</w:t>
            </w:r>
          </w:p>
        </w:tc>
        <w:tc>
          <w:tcPr>
            <w:tcW w:w="1667" w:type="pct"/>
          </w:tcPr>
          <w:p w:rsidR="00FE12E1" w:rsidRPr="000105A0" w:rsidRDefault="00FE12E1" w:rsidP="000105A0">
            <w:pPr>
              <w:pStyle w:val="TableText"/>
            </w:pPr>
            <w:r w:rsidRPr="000105A0">
              <w:t>5255</w:t>
            </w:r>
          </w:p>
        </w:tc>
      </w:tr>
      <w:tr w:rsidR="00FE12E1" w:rsidRPr="000105A0" w:rsidTr="008333FA">
        <w:tc>
          <w:tcPr>
            <w:tcW w:w="1666" w:type="pct"/>
          </w:tcPr>
          <w:p w:rsidR="00FE12E1" w:rsidRPr="000105A0" w:rsidRDefault="00FE12E1" w:rsidP="000105A0">
            <w:pPr>
              <w:pStyle w:val="TableText"/>
            </w:pPr>
          </w:p>
        </w:tc>
        <w:tc>
          <w:tcPr>
            <w:tcW w:w="1666" w:type="pct"/>
          </w:tcPr>
          <w:p w:rsidR="00FE12E1" w:rsidRPr="000105A0" w:rsidRDefault="00FE12E1" w:rsidP="000105A0">
            <w:pPr>
              <w:pStyle w:val="TableText"/>
            </w:pPr>
            <w:r w:rsidRPr="000105A0">
              <w:t>Lyndoch</w:t>
            </w:r>
          </w:p>
        </w:tc>
        <w:tc>
          <w:tcPr>
            <w:tcW w:w="1667" w:type="pct"/>
          </w:tcPr>
          <w:p w:rsidR="00FE12E1" w:rsidRPr="000105A0" w:rsidRDefault="00FE12E1" w:rsidP="000105A0">
            <w:pPr>
              <w:pStyle w:val="TableText"/>
            </w:pPr>
            <w:r w:rsidRPr="000105A0">
              <w:t>5351</w:t>
            </w:r>
          </w:p>
        </w:tc>
      </w:tr>
      <w:tr w:rsidR="00FE12E1" w:rsidRPr="000105A0" w:rsidTr="008333FA">
        <w:tc>
          <w:tcPr>
            <w:tcW w:w="1666" w:type="pct"/>
          </w:tcPr>
          <w:p w:rsidR="00FE12E1" w:rsidRPr="000105A0" w:rsidRDefault="00FE12E1" w:rsidP="000105A0">
            <w:pPr>
              <w:pStyle w:val="TableText"/>
            </w:pPr>
          </w:p>
        </w:tc>
        <w:tc>
          <w:tcPr>
            <w:tcW w:w="1666" w:type="pct"/>
          </w:tcPr>
          <w:p w:rsidR="00FE12E1" w:rsidRPr="000105A0" w:rsidRDefault="00FE12E1" w:rsidP="000105A0">
            <w:pPr>
              <w:pStyle w:val="TableText"/>
            </w:pPr>
            <w:r w:rsidRPr="000105A0">
              <w:t>Tanunda</w:t>
            </w:r>
          </w:p>
        </w:tc>
        <w:tc>
          <w:tcPr>
            <w:tcW w:w="1667" w:type="pct"/>
          </w:tcPr>
          <w:p w:rsidR="00FE12E1" w:rsidRPr="000105A0" w:rsidRDefault="00FE12E1" w:rsidP="000105A0">
            <w:pPr>
              <w:pStyle w:val="TableText"/>
            </w:pPr>
            <w:r w:rsidRPr="000105A0">
              <w:t>5352</w:t>
            </w:r>
          </w:p>
        </w:tc>
      </w:tr>
      <w:tr w:rsidR="00FE12E1" w:rsidRPr="000105A0" w:rsidTr="008333FA">
        <w:tc>
          <w:tcPr>
            <w:tcW w:w="1666" w:type="pct"/>
          </w:tcPr>
          <w:p w:rsidR="00FE12E1" w:rsidRPr="000105A0" w:rsidRDefault="00FE12E1" w:rsidP="000105A0">
            <w:pPr>
              <w:pStyle w:val="TableText"/>
            </w:pPr>
          </w:p>
        </w:tc>
        <w:tc>
          <w:tcPr>
            <w:tcW w:w="1666" w:type="pct"/>
          </w:tcPr>
          <w:p w:rsidR="00FE12E1" w:rsidRPr="000105A0" w:rsidRDefault="00FE12E1" w:rsidP="000105A0">
            <w:pPr>
              <w:pStyle w:val="TableText"/>
            </w:pPr>
            <w:r w:rsidRPr="000105A0">
              <w:t>Cambrai</w:t>
            </w:r>
          </w:p>
        </w:tc>
        <w:tc>
          <w:tcPr>
            <w:tcW w:w="1667" w:type="pct"/>
          </w:tcPr>
          <w:p w:rsidR="00FE12E1" w:rsidRPr="000105A0" w:rsidRDefault="00FE12E1" w:rsidP="000105A0">
            <w:pPr>
              <w:pStyle w:val="TableText"/>
            </w:pPr>
            <w:r w:rsidRPr="000105A0">
              <w:t>5353</w:t>
            </w:r>
          </w:p>
        </w:tc>
      </w:tr>
      <w:tr w:rsidR="00FE12E1" w:rsidRPr="000105A0" w:rsidTr="008333FA">
        <w:tc>
          <w:tcPr>
            <w:tcW w:w="1666" w:type="pct"/>
          </w:tcPr>
          <w:p w:rsidR="00FE12E1" w:rsidRPr="000105A0" w:rsidRDefault="00FE12E1" w:rsidP="000105A0">
            <w:pPr>
              <w:pStyle w:val="TableText"/>
            </w:pPr>
          </w:p>
        </w:tc>
        <w:tc>
          <w:tcPr>
            <w:tcW w:w="1666" w:type="pct"/>
          </w:tcPr>
          <w:p w:rsidR="00FE12E1" w:rsidRPr="000105A0" w:rsidRDefault="00FE12E1" w:rsidP="000105A0">
            <w:pPr>
              <w:pStyle w:val="TableText"/>
            </w:pPr>
            <w:r w:rsidRPr="000105A0">
              <w:t>Nuriootpa</w:t>
            </w:r>
          </w:p>
        </w:tc>
        <w:tc>
          <w:tcPr>
            <w:tcW w:w="1667" w:type="pct"/>
          </w:tcPr>
          <w:p w:rsidR="00FE12E1" w:rsidRPr="000105A0" w:rsidRDefault="00FE12E1" w:rsidP="000105A0">
            <w:pPr>
              <w:pStyle w:val="TableText"/>
            </w:pPr>
            <w:r w:rsidRPr="000105A0">
              <w:t>5355</w:t>
            </w:r>
          </w:p>
        </w:tc>
      </w:tr>
      <w:tr w:rsidR="00FE12E1" w:rsidRPr="000105A0" w:rsidTr="008333FA">
        <w:tc>
          <w:tcPr>
            <w:tcW w:w="1666" w:type="pct"/>
          </w:tcPr>
          <w:p w:rsidR="00FE12E1" w:rsidRPr="000105A0" w:rsidRDefault="00FE12E1" w:rsidP="000105A0">
            <w:pPr>
              <w:pStyle w:val="TableText"/>
            </w:pPr>
          </w:p>
        </w:tc>
        <w:tc>
          <w:tcPr>
            <w:tcW w:w="1666" w:type="pct"/>
          </w:tcPr>
          <w:p w:rsidR="00FE12E1" w:rsidRPr="000105A0" w:rsidRDefault="00FE12E1" w:rsidP="000105A0">
            <w:pPr>
              <w:pStyle w:val="TableText"/>
            </w:pPr>
            <w:r w:rsidRPr="000105A0">
              <w:t>Truro</w:t>
            </w:r>
          </w:p>
        </w:tc>
        <w:tc>
          <w:tcPr>
            <w:tcW w:w="1667" w:type="pct"/>
          </w:tcPr>
          <w:p w:rsidR="00FE12E1" w:rsidRPr="000105A0" w:rsidRDefault="00FE12E1" w:rsidP="000105A0">
            <w:pPr>
              <w:pStyle w:val="TableText"/>
            </w:pPr>
            <w:r w:rsidRPr="000105A0">
              <w:t>5356</w:t>
            </w:r>
          </w:p>
        </w:tc>
      </w:tr>
      <w:tr w:rsidR="00FE12E1" w:rsidRPr="000105A0" w:rsidTr="008333FA">
        <w:tc>
          <w:tcPr>
            <w:tcW w:w="1666" w:type="pct"/>
          </w:tcPr>
          <w:p w:rsidR="00FE12E1" w:rsidRPr="000105A0" w:rsidRDefault="00FE12E1" w:rsidP="000105A0">
            <w:pPr>
              <w:pStyle w:val="TableText"/>
            </w:pPr>
          </w:p>
        </w:tc>
        <w:tc>
          <w:tcPr>
            <w:tcW w:w="1666" w:type="pct"/>
          </w:tcPr>
          <w:p w:rsidR="00FE12E1" w:rsidRPr="000105A0" w:rsidRDefault="00FE12E1" w:rsidP="000105A0">
            <w:pPr>
              <w:pStyle w:val="TableText"/>
            </w:pPr>
            <w:r w:rsidRPr="000105A0">
              <w:t>Greennock</w:t>
            </w:r>
          </w:p>
        </w:tc>
        <w:tc>
          <w:tcPr>
            <w:tcW w:w="1667" w:type="pct"/>
          </w:tcPr>
          <w:p w:rsidR="00FE12E1" w:rsidRPr="000105A0" w:rsidRDefault="00FE12E1" w:rsidP="000105A0">
            <w:pPr>
              <w:pStyle w:val="TableText"/>
            </w:pPr>
            <w:r w:rsidRPr="000105A0">
              <w:t>5360</w:t>
            </w:r>
          </w:p>
        </w:tc>
      </w:tr>
      <w:tr w:rsidR="00FE12E1" w:rsidRPr="000105A0" w:rsidTr="008333FA">
        <w:tc>
          <w:tcPr>
            <w:tcW w:w="1666" w:type="pct"/>
          </w:tcPr>
          <w:p w:rsidR="00FE12E1" w:rsidRPr="000105A0" w:rsidRDefault="00FE12E1" w:rsidP="000105A0">
            <w:pPr>
              <w:pStyle w:val="TableText"/>
            </w:pPr>
          </w:p>
        </w:tc>
        <w:tc>
          <w:tcPr>
            <w:tcW w:w="1666" w:type="pct"/>
          </w:tcPr>
          <w:p w:rsidR="00FE12E1" w:rsidRPr="000105A0" w:rsidRDefault="00FE12E1" w:rsidP="000105A0">
            <w:pPr>
              <w:pStyle w:val="TableText"/>
            </w:pPr>
            <w:r w:rsidRPr="000105A0">
              <w:t>Eudunda</w:t>
            </w:r>
          </w:p>
        </w:tc>
        <w:tc>
          <w:tcPr>
            <w:tcW w:w="1667" w:type="pct"/>
          </w:tcPr>
          <w:p w:rsidR="00FE12E1" w:rsidRPr="000105A0" w:rsidRDefault="00FE12E1" w:rsidP="000105A0">
            <w:pPr>
              <w:pStyle w:val="TableText"/>
            </w:pPr>
            <w:r w:rsidRPr="000105A0">
              <w:t>5374</w:t>
            </w:r>
          </w:p>
        </w:tc>
      </w:tr>
      <w:tr w:rsidR="00FE12E1" w:rsidRPr="000105A0" w:rsidTr="008333FA">
        <w:tc>
          <w:tcPr>
            <w:tcW w:w="1666" w:type="pct"/>
          </w:tcPr>
          <w:p w:rsidR="00FE12E1" w:rsidRPr="000105A0" w:rsidRDefault="00FE12E1" w:rsidP="000105A0">
            <w:pPr>
              <w:pStyle w:val="TableText"/>
            </w:pPr>
          </w:p>
        </w:tc>
        <w:tc>
          <w:tcPr>
            <w:tcW w:w="1666" w:type="pct"/>
          </w:tcPr>
          <w:p w:rsidR="00FE12E1" w:rsidRPr="000105A0" w:rsidRDefault="00FE12E1" w:rsidP="000105A0">
            <w:pPr>
              <w:pStyle w:val="TableText"/>
            </w:pPr>
            <w:r w:rsidRPr="000105A0">
              <w:t>Woolsheds</w:t>
            </w:r>
          </w:p>
        </w:tc>
        <w:tc>
          <w:tcPr>
            <w:tcW w:w="1667" w:type="pct"/>
          </w:tcPr>
          <w:p w:rsidR="00FE12E1" w:rsidRPr="000105A0" w:rsidRDefault="00FE12E1" w:rsidP="000105A0">
            <w:pPr>
              <w:pStyle w:val="TableText"/>
            </w:pPr>
            <w:r w:rsidRPr="000105A0">
              <w:t>5400</w:t>
            </w:r>
          </w:p>
        </w:tc>
      </w:tr>
      <w:tr w:rsidR="00FE12E1" w:rsidRPr="000105A0" w:rsidTr="008333FA">
        <w:tc>
          <w:tcPr>
            <w:tcW w:w="1666" w:type="pct"/>
          </w:tcPr>
          <w:p w:rsidR="00FE12E1" w:rsidRPr="000105A0" w:rsidRDefault="00FE12E1" w:rsidP="000105A0">
            <w:pPr>
              <w:pStyle w:val="TableText"/>
            </w:pPr>
          </w:p>
        </w:tc>
        <w:tc>
          <w:tcPr>
            <w:tcW w:w="1666" w:type="pct"/>
          </w:tcPr>
          <w:p w:rsidR="00FE12E1" w:rsidRPr="000105A0" w:rsidRDefault="00FE12E1" w:rsidP="000105A0">
            <w:pPr>
              <w:pStyle w:val="TableText"/>
            </w:pPr>
            <w:r w:rsidRPr="000105A0">
              <w:t>Tarlee</w:t>
            </w:r>
          </w:p>
        </w:tc>
        <w:tc>
          <w:tcPr>
            <w:tcW w:w="1667" w:type="pct"/>
          </w:tcPr>
          <w:p w:rsidR="00FE12E1" w:rsidRPr="000105A0" w:rsidRDefault="00FE12E1" w:rsidP="000105A0">
            <w:pPr>
              <w:pStyle w:val="TableText"/>
            </w:pPr>
            <w:r w:rsidRPr="000105A0">
              <w:t>5411</w:t>
            </w:r>
          </w:p>
        </w:tc>
      </w:tr>
      <w:tr w:rsidR="00FE12E1" w:rsidRPr="000105A0" w:rsidTr="008333FA">
        <w:tc>
          <w:tcPr>
            <w:tcW w:w="1666" w:type="pct"/>
          </w:tcPr>
          <w:p w:rsidR="00FE12E1" w:rsidRPr="000105A0" w:rsidRDefault="00FE12E1" w:rsidP="000105A0">
            <w:pPr>
              <w:pStyle w:val="TableText"/>
            </w:pPr>
          </w:p>
        </w:tc>
        <w:tc>
          <w:tcPr>
            <w:tcW w:w="1666" w:type="pct"/>
          </w:tcPr>
          <w:p w:rsidR="00FE12E1" w:rsidRPr="000105A0" w:rsidRDefault="00FE12E1" w:rsidP="000105A0">
            <w:pPr>
              <w:pStyle w:val="TableText"/>
            </w:pPr>
            <w:r w:rsidRPr="000105A0">
              <w:t>Rhynie</w:t>
            </w:r>
          </w:p>
        </w:tc>
        <w:tc>
          <w:tcPr>
            <w:tcW w:w="1667" w:type="pct"/>
          </w:tcPr>
          <w:p w:rsidR="00FE12E1" w:rsidRPr="000105A0" w:rsidRDefault="00FE12E1" w:rsidP="000105A0">
            <w:pPr>
              <w:pStyle w:val="TableText"/>
            </w:pPr>
            <w:r w:rsidRPr="000105A0">
              <w:t>5412</w:t>
            </w:r>
          </w:p>
        </w:tc>
      </w:tr>
      <w:tr w:rsidR="00FE12E1" w:rsidRPr="000105A0" w:rsidTr="008333FA">
        <w:tc>
          <w:tcPr>
            <w:tcW w:w="1666" w:type="pct"/>
          </w:tcPr>
          <w:p w:rsidR="00FE12E1" w:rsidRPr="000105A0" w:rsidRDefault="00FE12E1" w:rsidP="000105A0">
            <w:pPr>
              <w:pStyle w:val="TableText"/>
            </w:pPr>
          </w:p>
        </w:tc>
        <w:tc>
          <w:tcPr>
            <w:tcW w:w="1666" w:type="pct"/>
          </w:tcPr>
          <w:p w:rsidR="00FE12E1" w:rsidRPr="000105A0" w:rsidRDefault="00FE12E1" w:rsidP="000105A0">
            <w:pPr>
              <w:pStyle w:val="TableText"/>
            </w:pPr>
            <w:r w:rsidRPr="000105A0">
              <w:t>Balaklava</w:t>
            </w:r>
          </w:p>
        </w:tc>
        <w:tc>
          <w:tcPr>
            <w:tcW w:w="1667" w:type="pct"/>
          </w:tcPr>
          <w:p w:rsidR="00FE12E1" w:rsidRPr="000105A0" w:rsidRDefault="00FE12E1" w:rsidP="000105A0">
            <w:pPr>
              <w:pStyle w:val="TableText"/>
            </w:pPr>
            <w:r w:rsidRPr="000105A0">
              <w:t>5461</w:t>
            </w:r>
          </w:p>
        </w:tc>
      </w:tr>
      <w:tr w:rsidR="00FE12E1" w:rsidRPr="000105A0" w:rsidTr="008333FA">
        <w:tc>
          <w:tcPr>
            <w:tcW w:w="1666" w:type="pct"/>
          </w:tcPr>
          <w:p w:rsidR="00FE12E1" w:rsidRPr="000105A0" w:rsidRDefault="00FE12E1" w:rsidP="000105A0">
            <w:pPr>
              <w:pStyle w:val="TableText"/>
            </w:pPr>
          </w:p>
        </w:tc>
        <w:tc>
          <w:tcPr>
            <w:tcW w:w="1666" w:type="pct"/>
          </w:tcPr>
          <w:p w:rsidR="00FE12E1" w:rsidRPr="000105A0" w:rsidRDefault="00FE12E1" w:rsidP="000105A0">
            <w:pPr>
              <w:pStyle w:val="TableText"/>
            </w:pPr>
            <w:r w:rsidRPr="000105A0">
              <w:t>Dublin</w:t>
            </w:r>
          </w:p>
        </w:tc>
        <w:tc>
          <w:tcPr>
            <w:tcW w:w="1667" w:type="pct"/>
          </w:tcPr>
          <w:p w:rsidR="00FE12E1" w:rsidRPr="000105A0" w:rsidRDefault="00FE12E1" w:rsidP="000105A0">
            <w:pPr>
              <w:pStyle w:val="TableText"/>
            </w:pPr>
            <w:r w:rsidRPr="000105A0">
              <w:t>5501</w:t>
            </w:r>
          </w:p>
        </w:tc>
      </w:tr>
      <w:tr w:rsidR="00FE12E1" w:rsidRPr="000105A0" w:rsidTr="008333FA">
        <w:tc>
          <w:tcPr>
            <w:tcW w:w="1666" w:type="pct"/>
          </w:tcPr>
          <w:p w:rsidR="00FE12E1" w:rsidRPr="000105A0" w:rsidRDefault="00FE12E1" w:rsidP="000105A0">
            <w:pPr>
              <w:pStyle w:val="TableText"/>
            </w:pPr>
          </w:p>
        </w:tc>
        <w:tc>
          <w:tcPr>
            <w:tcW w:w="1666" w:type="pct"/>
          </w:tcPr>
          <w:p w:rsidR="00FE12E1" w:rsidRPr="000105A0" w:rsidRDefault="00FE12E1" w:rsidP="000105A0">
            <w:pPr>
              <w:pStyle w:val="TableText"/>
            </w:pPr>
            <w:r w:rsidRPr="000105A0">
              <w:t>Mallalla</w:t>
            </w:r>
          </w:p>
        </w:tc>
        <w:tc>
          <w:tcPr>
            <w:tcW w:w="1667" w:type="pct"/>
          </w:tcPr>
          <w:p w:rsidR="00FE12E1" w:rsidRPr="000105A0" w:rsidRDefault="00FE12E1" w:rsidP="000105A0">
            <w:pPr>
              <w:pStyle w:val="TableText"/>
            </w:pPr>
            <w:r w:rsidRPr="000105A0">
              <w:t>5502</w:t>
            </w:r>
          </w:p>
        </w:tc>
      </w:tr>
      <w:tr w:rsidR="00FE12E1" w:rsidRPr="000105A0" w:rsidTr="008333FA">
        <w:tc>
          <w:tcPr>
            <w:tcW w:w="1666" w:type="pct"/>
            <w:tcBorders>
              <w:bottom w:val="single" w:sz="4" w:space="0" w:color="auto"/>
            </w:tcBorders>
          </w:tcPr>
          <w:p w:rsidR="00FE12E1" w:rsidRPr="000105A0" w:rsidRDefault="00FE12E1" w:rsidP="000105A0">
            <w:pPr>
              <w:pStyle w:val="TableText"/>
            </w:pPr>
          </w:p>
        </w:tc>
        <w:tc>
          <w:tcPr>
            <w:tcW w:w="1666" w:type="pct"/>
            <w:tcBorders>
              <w:bottom w:val="single" w:sz="4" w:space="0" w:color="auto"/>
            </w:tcBorders>
          </w:tcPr>
          <w:p w:rsidR="00FE12E1" w:rsidRPr="000105A0" w:rsidRDefault="00FE12E1" w:rsidP="000105A0">
            <w:pPr>
              <w:pStyle w:val="TableText"/>
            </w:pPr>
            <w:r w:rsidRPr="000105A0">
              <w:t>Port Wakefield</w:t>
            </w:r>
          </w:p>
        </w:tc>
        <w:tc>
          <w:tcPr>
            <w:tcW w:w="1667" w:type="pct"/>
            <w:tcBorders>
              <w:bottom w:val="single" w:sz="4" w:space="0" w:color="auto"/>
            </w:tcBorders>
          </w:tcPr>
          <w:p w:rsidR="00FE12E1" w:rsidRPr="000105A0" w:rsidRDefault="00FE12E1" w:rsidP="000105A0">
            <w:pPr>
              <w:pStyle w:val="TableText"/>
            </w:pPr>
            <w:r w:rsidRPr="000105A0">
              <w:t>5550</w:t>
            </w:r>
          </w:p>
        </w:tc>
      </w:tr>
      <w:tr w:rsidR="00FE12E1" w:rsidRPr="000105A0" w:rsidTr="008333FA">
        <w:tc>
          <w:tcPr>
            <w:tcW w:w="1666" w:type="pct"/>
            <w:tcBorders>
              <w:top w:val="single" w:sz="4" w:space="0" w:color="auto"/>
              <w:left w:val="single" w:sz="4" w:space="0" w:color="auto"/>
              <w:bottom w:val="single" w:sz="4" w:space="0" w:color="auto"/>
              <w:right w:val="nil"/>
            </w:tcBorders>
            <w:shd w:val="clear" w:color="auto" w:fill="BDD6EE" w:themeFill="accent1" w:themeFillTint="66"/>
          </w:tcPr>
          <w:p w:rsidR="00FE12E1" w:rsidRPr="000105A0" w:rsidRDefault="00FE12E1" w:rsidP="000105A0">
            <w:pPr>
              <w:pStyle w:val="TableText"/>
              <w:rPr>
                <w:b/>
              </w:rPr>
            </w:pPr>
            <w:r w:rsidRPr="000105A0">
              <w:rPr>
                <w:b/>
              </w:rPr>
              <w:t>Outer Regional</w:t>
            </w:r>
          </w:p>
        </w:tc>
        <w:tc>
          <w:tcPr>
            <w:tcW w:w="1666" w:type="pct"/>
            <w:tcBorders>
              <w:top w:val="single" w:sz="4" w:space="0" w:color="auto"/>
              <w:left w:val="nil"/>
              <w:bottom w:val="single" w:sz="4" w:space="0" w:color="auto"/>
              <w:right w:val="nil"/>
            </w:tcBorders>
            <w:shd w:val="clear" w:color="auto" w:fill="BDD6EE" w:themeFill="accent1" w:themeFillTint="66"/>
          </w:tcPr>
          <w:p w:rsidR="00FE12E1" w:rsidRPr="000105A0" w:rsidRDefault="00FE12E1" w:rsidP="000105A0">
            <w:pPr>
              <w:pStyle w:val="TableText"/>
            </w:pPr>
          </w:p>
        </w:tc>
        <w:tc>
          <w:tcPr>
            <w:tcW w:w="1667" w:type="pct"/>
            <w:tcBorders>
              <w:top w:val="single" w:sz="4" w:space="0" w:color="auto"/>
              <w:left w:val="nil"/>
              <w:bottom w:val="single" w:sz="4" w:space="0" w:color="auto"/>
              <w:right w:val="single" w:sz="4" w:space="0" w:color="auto"/>
            </w:tcBorders>
            <w:shd w:val="clear" w:color="auto" w:fill="BDD6EE" w:themeFill="accent1" w:themeFillTint="66"/>
          </w:tcPr>
          <w:p w:rsidR="00FE12E1" w:rsidRPr="000105A0" w:rsidRDefault="00FE12E1" w:rsidP="000105A0">
            <w:pPr>
              <w:pStyle w:val="TableText"/>
            </w:pPr>
          </w:p>
        </w:tc>
      </w:tr>
      <w:tr w:rsidR="00FE12E1" w:rsidRPr="000105A0" w:rsidTr="008333FA">
        <w:tc>
          <w:tcPr>
            <w:tcW w:w="1666" w:type="pct"/>
            <w:tcBorders>
              <w:top w:val="single" w:sz="4" w:space="0" w:color="auto"/>
            </w:tcBorders>
          </w:tcPr>
          <w:p w:rsidR="00FE12E1" w:rsidRPr="000105A0" w:rsidRDefault="00FE12E1" w:rsidP="000105A0">
            <w:pPr>
              <w:pStyle w:val="TableText"/>
            </w:pPr>
          </w:p>
        </w:tc>
        <w:tc>
          <w:tcPr>
            <w:tcW w:w="1666" w:type="pct"/>
            <w:tcBorders>
              <w:top w:val="single" w:sz="4" w:space="0" w:color="auto"/>
            </w:tcBorders>
          </w:tcPr>
          <w:p w:rsidR="00FE12E1" w:rsidRPr="000105A0" w:rsidRDefault="00FE12E1" w:rsidP="000105A0">
            <w:pPr>
              <w:pStyle w:val="TableText"/>
            </w:pPr>
            <w:r w:rsidRPr="000105A0">
              <w:t>Coonawarra</w:t>
            </w:r>
          </w:p>
        </w:tc>
        <w:tc>
          <w:tcPr>
            <w:tcW w:w="1667" w:type="pct"/>
            <w:tcBorders>
              <w:top w:val="single" w:sz="4" w:space="0" w:color="auto"/>
            </w:tcBorders>
          </w:tcPr>
          <w:p w:rsidR="00FE12E1" w:rsidRPr="000105A0" w:rsidRDefault="00FE12E1" w:rsidP="000105A0">
            <w:pPr>
              <w:pStyle w:val="TableText"/>
            </w:pPr>
            <w:r w:rsidRPr="000105A0">
              <w:t>5263</w:t>
            </w:r>
          </w:p>
        </w:tc>
      </w:tr>
      <w:tr w:rsidR="000105A0" w:rsidRPr="000105A0" w:rsidTr="008333FA">
        <w:tc>
          <w:tcPr>
            <w:tcW w:w="1666" w:type="pct"/>
          </w:tcPr>
          <w:p w:rsidR="000105A0" w:rsidRPr="000105A0" w:rsidRDefault="000105A0" w:rsidP="000105A0">
            <w:pPr>
              <w:pStyle w:val="TableText"/>
            </w:pPr>
          </w:p>
        </w:tc>
        <w:tc>
          <w:tcPr>
            <w:tcW w:w="1666" w:type="pct"/>
          </w:tcPr>
          <w:p w:rsidR="000105A0" w:rsidRPr="000105A0" w:rsidRDefault="000105A0" w:rsidP="000105A0">
            <w:pPr>
              <w:pStyle w:val="TableText"/>
            </w:pPr>
            <w:r w:rsidRPr="000105A0">
              <w:t>Bordertown</w:t>
            </w:r>
          </w:p>
        </w:tc>
        <w:tc>
          <w:tcPr>
            <w:tcW w:w="1667" w:type="pct"/>
          </w:tcPr>
          <w:p w:rsidR="000105A0" w:rsidRPr="000105A0" w:rsidRDefault="000105A0" w:rsidP="000105A0">
            <w:pPr>
              <w:pStyle w:val="TableText"/>
            </w:pPr>
            <w:r w:rsidRPr="000105A0">
              <w:t>5268</w:t>
            </w:r>
          </w:p>
        </w:tc>
      </w:tr>
      <w:tr w:rsidR="000105A0" w:rsidRPr="000105A0" w:rsidTr="008333FA">
        <w:tc>
          <w:tcPr>
            <w:tcW w:w="1666" w:type="pct"/>
          </w:tcPr>
          <w:p w:rsidR="000105A0" w:rsidRPr="000105A0" w:rsidRDefault="000105A0" w:rsidP="000105A0">
            <w:pPr>
              <w:pStyle w:val="TableText"/>
            </w:pPr>
          </w:p>
        </w:tc>
        <w:tc>
          <w:tcPr>
            <w:tcW w:w="1666" w:type="pct"/>
          </w:tcPr>
          <w:p w:rsidR="000105A0" w:rsidRPr="000105A0" w:rsidRDefault="000105A0" w:rsidP="000105A0">
            <w:pPr>
              <w:pStyle w:val="TableText"/>
            </w:pPr>
            <w:r w:rsidRPr="000105A0">
              <w:t>Naracoorte</w:t>
            </w:r>
          </w:p>
        </w:tc>
        <w:tc>
          <w:tcPr>
            <w:tcW w:w="1667" w:type="pct"/>
          </w:tcPr>
          <w:p w:rsidR="000105A0" w:rsidRPr="000105A0" w:rsidRDefault="000105A0" w:rsidP="000105A0">
            <w:pPr>
              <w:pStyle w:val="TableText"/>
            </w:pPr>
            <w:r w:rsidRPr="000105A0">
              <w:t>5271</w:t>
            </w:r>
          </w:p>
        </w:tc>
      </w:tr>
      <w:tr w:rsidR="000105A0" w:rsidRPr="000105A0" w:rsidTr="008333FA">
        <w:tc>
          <w:tcPr>
            <w:tcW w:w="1666" w:type="pct"/>
          </w:tcPr>
          <w:p w:rsidR="000105A0" w:rsidRPr="000105A0" w:rsidRDefault="000105A0" w:rsidP="000105A0">
            <w:pPr>
              <w:pStyle w:val="TableText"/>
            </w:pPr>
          </w:p>
        </w:tc>
        <w:tc>
          <w:tcPr>
            <w:tcW w:w="1666" w:type="pct"/>
          </w:tcPr>
          <w:p w:rsidR="000105A0" w:rsidRPr="000105A0" w:rsidRDefault="000105A0" w:rsidP="000105A0">
            <w:pPr>
              <w:pStyle w:val="TableText"/>
            </w:pPr>
            <w:r w:rsidRPr="000105A0">
              <w:t>Millicent</w:t>
            </w:r>
          </w:p>
        </w:tc>
        <w:tc>
          <w:tcPr>
            <w:tcW w:w="1667" w:type="pct"/>
          </w:tcPr>
          <w:p w:rsidR="000105A0" w:rsidRPr="000105A0" w:rsidRDefault="000105A0" w:rsidP="000105A0">
            <w:pPr>
              <w:pStyle w:val="TableText"/>
            </w:pPr>
            <w:r w:rsidRPr="000105A0">
              <w:t>5280</w:t>
            </w:r>
          </w:p>
        </w:tc>
      </w:tr>
      <w:tr w:rsidR="000105A0" w:rsidRPr="000105A0" w:rsidTr="008333FA">
        <w:tc>
          <w:tcPr>
            <w:tcW w:w="1666" w:type="pct"/>
          </w:tcPr>
          <w:p w:rsidR="000105A0" w:rsidRPr="000105A0" w:rsidRDefault="000105A0" w:rsidP="000105A0">
            <w:pPr>
              <w:pStyle w:val="TableText"/>
            </w:pPr>
          </w:p>
        </w:tc>
        <w:tc>
          <w:tcPr>
            <w:tcW w:w="1666" w:type="pct"/>
          </w:tcPr>
          <w:p w:rsidR="000105A0" w:rsidRPr="000105A0" w:rsidRDefault="000105A0" w:rsidP="000105A0">
            <w:pPr>
              <w:pStyle w:val="TableText"/>
            </w:pPr>
            <w:r w:rsidRPr="000105A0">
              <w:t>Mount Gambier</w:t>
            </w:r>
          </w:p>
        </w:tc>
        <w:tc>
          <w:tcPr>
            <w:tcW w:w="1667" w:type="pct"/>
          </w:tcPr>
          <w:p w:rsidR="000105A0" w:rsidRPr="000105A0" w:rsidRDefault="000105A0" w:rsidP="000105A0">
            <w:pPr>
              <w:pStyle w:val="TableText"/>
            </w:pPr>
            <w:r w:rsidRPr="000105A0">
              <w:t>5290</w:t>
            </w:r>
          </w:p>
        </w:tc>
      </w:tr>
      <w:tr w:rsidR="000105A0" w:rsidRPr="000105A0" w:rsidTr="008333FA">
        <w:tc>
          <w:tcPr>
            <w:tcW w:w="1666" w:type="pct"/>
          </w:tcPr>
          <w:p w:rsidR="000105A0" w:rsidRPr="000105A0" w:rsidRDefault="000105A0" w:rsidP="000105A0">
            <w:pPr>
              <w:pStyle w:val="TableText"/>
            </w:pPr>
          </w:p>
        </w:tc>
        <w:tc>
          <w:tcPr>
            <w:tcW w:w="1666" w:type="pct"/>
          </w:tcPr>
          <w:p w:rsidR="000105A0" w:rsidRPr="000105A0" w:rsidRDefault="000105A0" w:rsidP="000105A0">
            <w:pPr>
              <w:pStyle w:val="TableText"/>
            </w:pPr>
            <w:r w:rsidRPr="000105A0">
              <w:t>Loxton</w:t>
            </w:r>
          </w:p>
        </w:tc>
        <w:tc>
          <w:tcPr>
            <w:tcW w:w="1667" w:type="pct"/>
          </w:tcPr>
          <w:p w:rsidR="000105A0" w:rsidRPr="000105A0" w:rsidRDefault="000105A0" w:rsidP="000105A0">
            <w:pPr>
              <w:pStyle w:val="TableText"/>
            </w:pPr>
            <w:r w:rsidRPr="000105A0">
              <w:t>5333</w:t>
            </w:r>
          </w:p>
        </w:tc>
      </w:tr>
      <w:tr w:rsidR="000105A0" w:rsidRPr="000105A0" w:rsidTr="008333FA">
        <w:tc>
          <w:tcPr>
            <w:tcW w:w="1666" w:type="pct"/>
          </w:tcPr>
          <w:p w:rsidR="000105A0" w:rsidRPr="000105A0" w:rsidRDefault="000105A0" w:rsidP="000105A0">
            <w:pPr>
              <w:pStyle w:val="TableText"/>
            </w:pPr>
          </w:p>
        </w:tc>
        <w:tc>
          <w:tcPr>
            <w:tcW w:w="1666" w:type="pct"/>
          </w:tcPr>
          <w:p w:rsidR="000105A0" w:rsidRPr="000105A0" w:rsidRDefault="000105A0" w:rsidP="000105A0">
            <w:pPr>
              <w:pStyle w:val="TableText"/>
            </w:pPr>
            <w:r w:rsidRPr="000105A0">
              <w:t>Renmark</w:t>
            </w:r>
          </w:p>
        </w:tc>
        <w:tc>
          <w:tcPr>
            <w:tcW w:w="1667" w:type="pct"/>
          </w:tcPr>
          <w:p w:rsidR="000105A0" w:rsidRPr="000105A0" w:rsidRDefault="000105A0" w:rsidP="000105A0">
            <w:pPr>
              <w:pStyle w:val="TableText"/>
            </w:pPr>
            <w:r w:rsidRPr="000105A0">
              <w:t>5341</w:t>
            </w:r>
          </w:p>
        </w:tc>
      </w:tr>
      <w:tr w:rsidR="000105A0" w:rsidRPr="000105A0" w:rsidTr="008333FA">
        <w:tc>
          <w:tcPr>
            <w:tcW w:w="1666" w:type="pct"/>
          </w:tcPr>
          <w:p w:rsidR="000105A0" w:rsidRPr="000105A0" w:rsidRDefault="000105A0" w:rsidP="000105A0">
            <w:pPr>
              <w:pStyle w:val="TableText"/>
            </w:pPr>
          </w:p>
        </w:tc>
        <w:tc>
          <w:tcPr>
            <w:tcW w:w="1666" w:type="pct"/>
          </w:tcPr>
          <w:p w:rsidR="000105A0" w:rsidRPr="000105A0" w:rsidRDefault="000105A0" w:rsidP="000105A0">
            <w:pPr>
              <w:pStyle w:val="TableText"/>
            </w:pPr>
            <w:r w:rsidRPr="000105A0">
              <w:t>Monash</w:t>
            </w:r>
          </w:p>
        </w:tc>
        <w:tc>
          <w:tcPr>
            <w:tcW w:w="1667" w:type="pct"/>
          </w:tcPr>
          <w:p w:rsidR="000105A0" w:rsidRPr="000105A0" w:rsidRDefault="000105A0" w:rsidP="000105A0">
            <w:pPr>
              <w:pStyle w:val="TableText"/>
            </w:pPr>
            <w:r w:rsidRPr="000105A0">
              <w:t>5342</w:t>
            </w:r>
          </w:p>
        </w:tc>
      </w:tr>
      <w:tr w:rsidR="000105A0" w:rsidRPr="000105A0" w:rsidTr="008333FA">
        <w:tc>
          <w:tcPr>
            <w:tcW w:w="1666" w:type="pct"/>
          </w:tcPr>
          <w:p w:rsidR="000105A0" w:rsidRPr="000105A0" w:rsidRDefault="000105A0" w:rsidP="000105A0">
            <w:pPr>
              <w:pStyle w:val="TableText"/>
            </w:pPr>
          </w:p>
        </w:tc>
        <w:tc>
          <w:tcPr>
            <w:tcW w:w="1666" w:type="pct"/>
          </w:tcPr>
          <w:p w:rsidR="000105A0" w:rsidRPr="000105A0" w:rsidRDefault="000105A0" w:rsidP="000105A0">
            <w:pPr>
              <w:pStyle w:val="TableText"/>
            </w:pPr>
            <w:r w:rsidRPr="000105A0">
              <w:t>Berri</w:t>
            </w:r>
          </w:p>
        </w:tc>
        <w:tc>
          <w:tcPr>
            <w:tcW w:w="1667" w:type="pct"/>
          </w:tcPr>
          <w:p w:rsidR="000105A0" w:rsidRPr="000105A0" w:rsidRDefault="000105A0" w:rsidP="000105A0">
            <w:pPr>
              <w:pStyle w:val="TableText"/>
            </w:pPr>
            <w:r w:rsidRPr="000105A0">
              <w:t>5343</w:t>
            </w:r>
          </w:p>
        </w:tc>
      </w:tr>
      <w:tr w:rsidR="000105A0" w:rsidRPr="000105A0" w:rsidTr="008333FA">
        <w:tc>
          <w:tcPr>
            <w:tcW w:w="1666" w:type="pct"/>
          </w:tcPr>
          <w:p w:rsidR="000105A0" w:rsidRPr="000105A0" w:rsidRDefault="000105A0" w:rsidP="000105A0">
            <w:pPr>
              <w:pStyle w:val="TableText"/>
            </w:pPr>
          </w:p>
        </w:tc>
        <w:tc>
          <w:tcPr>
            <w:tcW w:w="1666" w:type="pct"/>
          </w:tcPr>
          <w:p w:rsidR="000105A0" w:rsidRPr="000105A0" w:rsidRDefault="000105A0" w:rsidP="000105A0">
            <w:pPr>
              <w:pStyle w:val="TableText"/>
            </w:pPr>
            <w:r w:rsidRPr="000105A0">
              <w:t>Barmera</w:t>
            </w:r>
          </w:p>
        </w:tc>
        <w:tc>
          <w:tcPr>
            <w:tcW w:w="1667" w:type="pct"/>
          </w:tcPr>
          <w:p w:rsidR="000105A0" w:rsidRPr="000105A0" w:rsidRDefault="000105A0" w:rsidP="000105A0">
            <w:pPr>
              <w:pStyle w:val="TableText"/>
            </w:pPr>
            <w:r w:rsidRPr="000105A0">
              <w:t>5345</w:t>
            </w:r>
          </w:p>
        </w:tc>
      </w:tr>
      <w:tr w:rsidR="000105A0" w:rsidRPr="000105A0" w:rsidTr="008333FA">
        <w:tc>
          <w:tcPr>
            <w:tcW w:w="1666" w:type="pct"/>
          </w:tcPr>
          <w:p w:rsidR="000105A0" w:rsidRPr="000105A0" w:rsidRDefault="000105A0" w:rsidP="000105A0">
            <w:pPr>
              <w:pStyle w:val="TableText"/>
            </w:pPr>
          </w:p>
        </w:tc>
        <w:tc>
          <w:tcPr>
            <w:tcW w:w="1666" w:type="pct"/>
          </w:tcPr>
          <w:p w:rsidR="000105A0" w:rsidRPr="000105A0" w:rsidRDefault="000105A0" w:rsidP="000105A0">
            <w:pPr>
              <w:pStyle w:val="TableText"/>
            </w:pPr>
            <w:r w:rsidRPr="000105A0">
              <w:t>Burra</w:t>
            </w:r>
          </w:p>
        </w:tc>
        <w:tc>
          <w:tcPr>
            <w:tcW w:w="1667" w:type="pct"/>
          </w:tcPr>
          <w:p w:rsidR="000105A0" w:rsidRPr="000105A0" w:rsidRDefault="000105A0" w:rsidP="000105A0">
            <w:pPr>
              <w:pStyle w:val="TableText"/>
            </w:pPr>
            <w:r w:rsidRPr="000105A0">
              <w:t>5417</w:t>
            </w:r>
          </w:p>
        </w:tc>
      </w:tr>
      <w:tr w:rsidR="000105A0" w:rsidRPr="000105A0" w:rsidTr="008333FA">
        <w:tc>
          <w:tcPr>
            <w:tcW w:w="1666" w:type="pct"/>
          </w:tcPr>
          <w:p w:rsidR="000105A0" w:rsidRPr="000105A0" w:rsidRDefault="000105A0" w:rsidP="000105A0">
            <w:pPr>
              <w:pStyle w:val="TableText"/>
            </w:pPr>
          </w:p>
        </w:tc>
        <w:tc>
          <w:tcPr>
            <w:tcW w:w="1666" w:type="pct"/>
          </w:tcPr>
          <w:p w:rsidR="000105A0" w:rsidRPr="000105A0" w:rsidRDefault="000105A0" w:rsidP="000105A0">
            <w:pPr>
              <w:pStyle w:val="TableText"/>
            </w:pPr>
            <w:r w:rsidRPr="000105A0">
              <w:t>Peterborough</w:t>
            </w:r>
          </w:p>
        </w:tc>
        <w:tc>
          <w:tcPr>
            <w:tcW w:w="1667" w:type="pct"/>
          </w:tcPr>
          <w:p w:rsidR="000105A0" w:rsidRPr="000105A0" w:rsidRDefault="000105A0" w:rsidP="000105A0">
            <w:pPr>
              <w:pStyle w:val="TableText"/>
            </w:pPr>
            <w:r w:rsidRPr="000105A0">
              <w:t>5422</w:t>
            </w:r>
          </w:p>
        </w:tc>
      </w:tr>
      <w:tr w:rsidR="000105A0" w:rsidRPr="000105A0" w:rsidTr="008333FA">
        <w:tc>
          <w:tcPr>
            <w:tcW w:w="1666" w:type="pct"/>
          </w:tcPr>
          <w:p w:rsidR="000105A0" w:rsidRPr="000105A0" w:rsidRDefault="000105A0" w:rsidP="000105A0">
            <w:pPr>
              <w:pStyle w:val="TableText"/>
            </w:pPr>
          </w:p>
        </w:tc>
        <w:tc>
          <w:tcPr>
            <w:tcW w:w="1666" w:type="pct"/>
          </w:tcPr>
          <w:p w:rsidR="000105A0" w:rsidRPr="000105A0" w:rsidRDefault="000105A0" w:rsidP="000105A0">
            <w:pPr>
              <w:pStyle w:val="TableText"/>
            </w:pPr>
            <w:r w:rsidRPr="000105A0">
              <w:t>Orroroo</w:t>
            </w:r>
          </w:p>
        </w:tc>
        <w:tc>
          <w:tcPr>
            <w:tcW w:w="1667" w:type="pct"/>
          </w:tcPr>
          <w:p w:rsidR="000105A0" w:rsidRPr="000105A0" w:rsidRDefault="000105A0" w:rsidP="000105A0">
            <w:pPr>
              <w:pStyle w:val="TableText"/>
            </w:pPr>
            <w:r w:rsidRPr="000105A0">
              <w:t>5431</w:t>
            </w:r>
          </w:p>
        </w:tc>
      </w:tr>
      <w:tr w:rsidR="000105A0" w:rsidRPr="000105A0" w:rsidTr="008333FA">
        <w:tc>
          <w:tcPr>
            <w:tcW w:w="1666" w:type="pct"/>
          </w:tcPr>
          <w:p w:rsidR="000105A0" w:rsidRPr="000105A0" w:rsidRDefault="000105A0" w:rsidP="000105A0">
            <w:pPr>
              <w:pStyle w:val="TableText"/>
            </w:pPr>
          </w:p>
        </w:tc>
        <w:tc>
          <w:tcPr>
            <w:tcW w:w="1666" w:type="pct"/>
          </w:tcPr>
          <w:p w:rsidR="000105A0" w:rsidRPr="000105A0" w:rsidRDefault="000105A0" w:rsidP="000105A0">
            <w:pPr>
              <w:pStyle w:val="TableText"/>
            </w:pPr>
            <w:r w:rsidRPr="000105A0">
              <w:t>Quorn</w:t>
            </w:r>
          </w:p>
        </w:tc>
        <w:tc>
          <w:tcPr>
            <w:tcW w:w="1667" w:type="pct"/>
          </w:tcPr>
          <w:p w:rsidR="000105A0" w:rsidRPr="000105A0" w:rsidRDefault="000105A0" w:rsidP="000105A0">
            <w:pPr>
              <w:pStyle w:val="TableText"/>
            </w:pPr>
            <w:r w:rsidRPr="000105A0">
              <w:t>5433</w:t>
            </w:r>
          </w:p>
        </w:tc>
      </w:tr>
      <w:tr w:rsidR="000105A0" w:rsidRPr="000105A0" w:rsidTr="008333FA">
        <w:tc>
          <w:tcPr>
            <w:tcW w:w="1666" w:type="pct"/>
          </w:tcPr>
          <w:p w:rsidR="000105A0" w:rsidRPr="000105A0" w:rsidRDefault="000105A0" w:rsidP="000105A0">
            <w:pPr>
              <w:pStyle w:val="TableText"/>
            </w:pPr>
          </w:p>
        </w:tc>
        <w:tc>
          <w:tcPr>
            <w:tcW w:w="1666" w:type="pct"/>
          </w:tcPr>
          <w:p w:rsidR="000105A0" w:rsidRPr="000105A0" w:rsidRDefault="000105A0" w:rsidP="000105A0">
            <w:pPr>
              <w:pStyle w:val="TableText"/>
            </w:pPr>
            <w:r w:rsidRPr="000105A0">
              <w:t>Spalding</w:t>
            </w:r>
          </w:p>
        </w:tc>
        <w:tc>
          <w:tcPr>
            <w:tcW w:w="1667" w:type="pct"/>
          </w:tcPr>
          <w:p w:rsidR="000105A0" w:rsidRPr="000105A0" w:rsidRDefault="000105A0" w:rsidP="000105A0">
            <w:pPr>
              <w:pStyle w:val="TableText"/>
            </w:pPr>
            <w:r w:rsidRPr="000105A0">
              <w:t>5454</w:t>
            </w:r>
          </w:p>
        </w:tc>
      </w:tr>
      <w:tr w:rsidR="000105A0" w:rsidRPr="000105A0" w:rsidTr="008333FA">
        <w:tc>
          <w:tcPr>
            <w:tcW w:w="1666" w:type="pct"/>
          </w:tcPr>
          <w:p w:rsidR="000105A0" w:rsidRPr="000105A0" w:rsidRDefault="000105A0" w:rsidP="000105A0">
            <w:pPr>
              <w:pStyle w:val="TableText"/>
            </w:pPr>
          </w:p>
        </w:tc>
        <w:tc>
          <w:tcPr>
            <w:tcW w:w="1666" w:type="pct"/>
          </w:tcPr>
          <w:p w:rsidR="000105A0" w:rsidRPr="000105A0" w:rsidRDefault="000105A0" w:rsidP="000105A0">
            <w:pPr>
              <w:pStyle w:val="TableText"/>
            </w:pPr>
            <w:r w:rsidRPr="000105A0">
              <w:t>Blyth</w:t>
            </w:r>
          </w:p>
        </w:tc>
        <w:tc>
          <w:tcPr>
            <w:tcW w:w="1667" w:type="pct"/>
          </w:tcPr>
          <w:p w:rsidR="000105A0" w:rsidRPr="000105A0" w:rsidRDefault="000105A0" w:rsidP="000105A0">
            <w:pPr>
              <w:pStyle w:val="TableText"/>
            </w:pPr>
            <w:r w:rsidRPr="000105A0">
              <w:t>5462</w:t>
            </w:r>
          </w:p>
        </w:tc>
      </w:tr>
      <w:tr w:rsidR="000105A0" w:rsidRPr="000105A0" w:rsidTr="008333FA">
        <w:tc>
          <w:tcPr>
            <w:tcW w:w="1666" w:type="pct"/>
          </w:tcPr>
          <w:p w:rsidR="000105A0" w:rsidRPr="000105A0" w:rsidRDefault="000105A0" w:rsidP="000105A0">
            <w:pPr>
              <w:pStyle w:val="TableText"/>
            </w:pPr>
          </w:p>
        </w:tc>
        <w:tc>
          <w:tcPr>
            <w:tcW w:w="1666" w:type="pct"/>
          </w:tcPr>
          <w:p w:rsidR="000105A0" w:rsidRPr="000105A0" w:rsidRDefault="000105A0" w:rsidP="000105A0">
            <w:pPr>
              <w:pStyle w:val="TableText"/>
            </w:pPr>
            <w:r w:rsidRPr="000105A0">
              <w:t>Gladstone</w:t>
            </w:r>
          </w:p>
        </w:tc>
        <w:tc>
          <w:tcPr>
            <w:tcW w:w="1667" w:type="pct"/>
          </w:tcPr>
          <w:p w:rsidR="000105A0" w:rsidRPr="000105A0" w:rsidRDefault="000105A0" w:rsidP="000105A0">
            <w:pPr>
              <w:pStyle w:val="TableText"/>
            </w:pPr>
            <w:r w:rsidRPr="000105A0">
              <w:t>5473</w:t>
            </w:r>
          </w:p>
        </w:tc>
      </w:tr>
      <w:tr w:rsidR="000105A0" w:rsidRPr="000105A0" w:rsidTr="008333FA">
        <w:tc>
          <w:tcPr>
            <w:tcW w:w="1666" w:type="pct"/>
          </w:tcPr>
          <w:p w:rsidR="000105A0" w:rsidRPr="000105A0" w:rsidRDefault="000105A0" w:rsidP="000105A0">
            <w:pPr>
              <w:pStyle w:val="TableText"/>
            </w:pPr>
          </w:p>
        </w:tc>
        <w:tc>
          <w:tcPr>
            <w:tcW w:w="1666" w:type="pct"/>
          </w:tcPr>
          <w:p w:rsidR="000105A0" w:rsidRPr="000105A0" w:rsidRDefault="000105A0" w:rsidP="000105A0">
            <w:pPr>
              <w:pStyle w:val="TableText"/>
            </w:pPr>
            <w:r w:rsidRPr="000105A0">
              <w:t>Laura</w:t>
            </w:r>
          </w:p>
        </w:tc>
        <w:tc>
          <w:tcPr>
            <w:tcW w:w="1667" w:type="pct"/>
          </w:tcPr>
          <w:p w:rsidR="000105A0" w:rsidRPr="000105A0" w:rsidRDefault="000105A0" w:rsidP="000105A0">
            <w:pPr>
              <w:pStyle w:val="TableText"/>
            </w:pPr>
            <w:r w:rsidRPr="000105A0">
              <w:t>5480</w:t>
            </w:r>
          </w:p>
        </w:tc>
      </w:tr>
      <w:tr w:rsidR="000105A0" w:rsidRPr="000105A0" w:rsidTr="008333FA">
        <w:tc>
          <w:tcPr>
            <w:tcW w:w="1666" w:type="pct"/>
          </w:tcPr>
          <w:p w:rsidR="000105A0" w:rsidRPr="000105A0" w:rsidRDefault="000105A0" w:rsidP="000105A0">
            <w:pPr>
              <w:pStyle w:val="TableText"/>
            </w:pPr>
          </w:p>
        </w:tc>
        <w:tc>
          <w:tcPr>
            <w:tcW w:w="1666" w:type="pct"/>
          </w:tcPr>
          <w:p w:rsidR="000105A0" w:rsidRPr="000105A0" w:rsidRDefault="000105A0" w:rsidP="000105A0">
            <w:pPr>
              <w:pStyle w:val="TableText"/>
            </w:pPr>
            <w:r w:rsidRPr="000105A0">
              <w:t>Bangor</w:t>
            </w:r>
          </w:p>
        </w:tc>
        <w:tc>
          <w:tcPr>
            <w:tcW w:w="1667" w:type="pct"/>
          </w:tcPr>
          <w:p w:rsidR="000105A0" w:rsidRPr="000105A0" w:rsidRDefault="000105A0" w:rsidP="000105A0">
            <w:pPr>
              <w:pStyle w:val="TableText"/>
            </w:pPr>
            <w:r w:rsidRPr="000105A0">
              <w:t>5481</w:t>
            </w:r>
          </w:p>
        </w:tc>
      </w:tr>
      <w:tr w:rsidR="000105A0" w:rsidRPr="000105A0" w:rsidTr="008333FA">
        <w:tc>
          <w:tcPr>
            <w:tcW w:w="1666" w:type="pct"/>
          </w:tcPr>
          <w:p w:rsidR="000105A0" w:rsidRPr="000105A0" w:rsidRDefault="000105A0" w:rsidP="000105A0">
            <w:pPr>
              <w:pStyle w:val="TableText"/>
            </w:pPr>
          </w:p>
        </w:tc>
        <w:tc>
          <w:tcPr>
            <w:tcW w:w="1666" w:type="pct"/>
          </w:tcPr>
          <w:p w:rsidR="000105A0" w:rsidRPr="000105A0" w:rsidRDefault="000105A0" w:rsidP="000105A0">
            <w:pPr>
              <w:pStyle w:val="TableText"/>
            </w:pPr>
            <w:r w:rsidRPr="000105A0">
              <w:t>Wepowie</w:t>
            </w:r>
          </w:p>
        </w:tc>
        <w:tc>
          <w:tcPr>
            <w:tcW w:w="1667" w:type="pct"/>
          </w:tcPr>
          <w:p w:rsidR="000105A0" w:rsidRPr="000105A0" w:rsidRDefault="000105A0" w:rsidP="000105A0">
            <w:pPr>
              <w:pStyle w:val="TableText"/>
            </w:pPr>
            <w:r w:rsidRPr="000105A0">
              <w:t>5482</w:t>
            </w:r>
          </w:p>
        </w:tc>
      </w:tr>
      <w:tr w:rsidR="000105A0" w:rsidRPr="000105A0" w:rsidTr="008333FA">
        <w:tc>
          <w:tcPr>
            <w:tcW w:w="1666" w:type="pct"/>
          </w:tcPr>
          <w:p w:rsidR="000105A0" w:rsidRPr="000105A0" w:rsidRDefault="000105A0" w:rsidP="000105A0">
            <w:pPr>
              <w:pStyle w:val="TableText"/>
            </w:pPr>
          </w:p>
        </w:tc>
        <w:tc>
          <w:tcPr>
            <w:tcW w:w="1666" w:type="pct"/>
          </w:tcPr>
          <w:p w:rsidR="000105A0" w:rsidRPr="000105A0" w:rsidRDefault="000105A0" w:rsidP="000105A0">
            <w:pPr>
              <w:pStyle w:val="TableText"/>
            </w:pPr>
            <w:r w:rsidRPr="000105A0">
              <w:t>Jamestown</w:t>
            </w:r>
          </w:p>
        </w:tc>
        <w:tc>
          <w:tcPr>
            <w:tcW w:w="1667" w:type="pct"/>
          </w:tcPr>
          <w:p w:rsidR="000105A0" w:rsidRPr="000105A0" w:rsidRDefault="000105A0" w:rsidP="000105A0">
            <w:pPr>
              <w:pStyle w:val="TableText"/>
            </w:pPr>
            <w:r w:rsidRPr="000105A0">
              <w:t>5491</w:t>
            </w:r>
          </w:p>
        </w:tc>
      </w:tr>
      <w:tr w:rsidR="000105A0" w:rsidRPr="000105A0" w:rsidTr="008333FA">
        <w:tc>
          <w:tcPr>
            <w:tcW w:w="1666" w:type="pct"/>
          </w:tcPr>
          <w:p w:rsidR="000105A0" w:rsidRPr="000105A0" w:rsidRDefault="000105A0" w:rsidP="000105A0">
            <w:pPr>
              <w:pStyle w:val="TableText"/>
            </w:pPr>
          </w:p>
        </w:tc>
        <w:tc>
          <w:tcPr>
            <w:tcW w:w="1666" w:type="pct"/>
          </w:tcPr>
          <w:p w:rsidR="000105A0" w:rsidRPr="000105A0" w:rsidRDefault="000105A0" w:rsidP="000105A0">
            <w:pPr>
              <w:pStyle w:val="TableText"/>
            </w:pPr>
            <w:r w:rsidRPr="000105A0">
              <w:t>Snowtown</w:t>
            </w:r>
          </w:p>
        </w:tc>
        <w:tc>
          <w:tcPr>
            <w:tcW w:w="1667" w:type="pct"/>
          </w:tcPr>
          <w:p w:rsidR="000105A0" w:rsidRPr="000105A0" w:rsidRDefault="000105A0" w:rsidP="000105A0">
            <w:pPr>
              <w:pStyle w:val="TableText"/>
            </w:pPr>
            <w:r w:rsidRPr="000105A0">
              <w:t>5520</w:t>
            </w:r>
          </w:p>
        </w:tc>
      </w:tr>
      <w:tr w:rsidR="000105A0" w:rsidRPr="000105A0" w:rsidTr="008333FA">
        <w:tc>
          <w:tcPr>
            <w:tcW w:w="1666" w:type="pct"/>
          </w:tcPr>
          <w:p w:rsidR="000105A0" w:rsidRPr="000105A0" w:rsidRDefault="000105A0" w:rsidP="000105A0">
            <w:pPr>
              <w:pStyle w:val="TableText"/>
            </w:pPr>
          </w:p>
        </w:tc>
        <w:tc>
          <w:tcPr>
            <w:tcW w:w="1666" w:type="pct"/>
          </w:tcPr>
          <w:p w:rsidR="000105A0" w:rsidRPr="000105A0" w:rsidRDefault="000105A0" w:rsidP="000105A0">
            <w:pPr>
              <w:pStyle w:val="TableText"/>
            </w:pPr>
            <w:r w:rsidRPr="000105A0">
              <w:t>Port Broughton</w:t>
            </w:r>
          </w:p>
        </w:tc>
        <w:tc>
          <w:tcPr>
            <w:tcW w:w="1667" w:type="pct"/>
          </w:tcPr>
          <w:p w:rsidR="000105A0" w:rsidRPr="000105A0" w:rsidRDefault="000105A0" w:rsidP="000105A0">
            <w:pPr>
              <w:pStyle w:val="TableText"/>
            </w:pPr>
            <w:r w:rsidRPr="000105A0">
              <w:t>5522</w:t>
            </w:r>
          </w:p>
        </w:tc>
      </w:tr>
      <w:tr w:rsidR="000105A0" w:rsidRPr="000105A0" w:rsidTr="008333FA">
        <w:tc>
          <w:tcPr>
            <w:tcW w:w="1666" w:type="pct"/>
          </w:tcPr>
          <w:p w:rsidR="000105A0" w:rsidRPr="000105A0" w:rsidRDefault="000105A0" w:rsidP="000105A0">
            <w:pPr>
              <w:pStyle w:val="TableText"/>
            </w:pPr>
          </w:p>
        </w:tc>
        <w:tc>
          <w:tcPr>
            <w:tcW w:w="1666" w:type="pct"/>
          </w:tcPr>
          <w:p w:rsidR="000105A0" w:rsidRPr="000105A0" w:rsidRDefault="000105A0" w:rsidP="000105A0">
            <w:pPr>
              <w:pStyle w:val="TableText"/>
            </w:pPr>
            <w:r w:rsidRPr="000105A0">
              <w:t>Crystal Brook</w:t>
            </w:r>
          </w:p>
        </w:tc>
        <w:tc>
          <w:tcPr>
            <w:tcW w:w="1667" w:type="pct"/>
          </w:tcPr>
          <w:p w:rsidR="000105A0" w:rsidRPr="000105A0" w:rsidRDefault="000105A0" w:rsidP="000105A0">
            <w:pPr>
              <w:pStyle w:val="TableText"/>
            </w:pPr>
            <w:r w:rsidRPr="000105A0">
              <w:t>5523</w:t>
            </w:r>
          </w:p>
        </w:tc>
      </w:tr>
      <w:tr w:rsidR="000105A0" w:rsidRPr="000105A0" w:rsidTr="008333FA">
        <w:tc>
          <w:tcPr>
            <w:tcW w:w="1666" w:type="pct"/>
          </w:tcPr>
          <w:p w:rsidR="000105A0" w:rsidRPr="000105A0" w:rsidRDefault="000105A0" w:rsidP="000105A0">
            <w:pPr>
              <w:pStyle w:val="TableText"/>
            </w:pPr>
          </w:p>
        </w:tc>
        <w:tc>
          <w:tcPr>
            <w:tcW w:w="1666" w:type="pct"/>
          </w:tcPr>
          <w:p w:rsidR="000105A0" w:rsidRPr="000105A0" w:rsidRDefault="000105A0" w:rsidP="000105A0">
            <w:pPr>
              <w:pStyle w:val="TableText"/>
            </w:pPr>
            <w:r w:rsidRPr="000105A0">
              <w:t>Port Pirie</w:t>
            </w:r>
          </w:p>
        </w:tc>
        <w:tc>
          <w:tcPr>
            <w:tcW w:w="1667" w:type="pct"/>
          </w:tcPr>
          <w:p w:rsidR="000105A0" w:rsidRPr="000105A0" w:rsidRDefault="000105A0" w:rsidP="000105A0">
            <w:pPr>
              <w:pStyle w:val="TableText"/>
            </w:pPr>
            <w:r w:rsidRPr="000105A0">
              <w:t>5540</w:t>
            </w:r>
          </w:p>
        </w:tc>
      </w:tr>
      <w:tr w:rsidR="000105A0" w:rsidRPr="000105A0" w:rsidTr="008333FA">
        <w:tc>
          <w:tcPr>
            <w:tcW w:w="1666" w:type="pct"/>
          </w:tcPr>
          <w:p w:rsidR="000105A0" w:rsidRPr="000105A0" w:rsidRDefault="000105A0" w:rsidP="000105A0">
            <w:pPr>
              <w:pStyle w:val="TableText"/>
            </w:pPr>
          </w:p>
        </w:tc>
        <w:tc>
          <w:tcPr>
            <w:tcW w:w="1666" w:type="pct"/>
          </w:tcPr>
          <w:p w:rsidR="000105A0" w:rsidRPr="000105A0" w:rsidRDefault="000105A0" w:rsidP="000105A0">
            <w:pPr>
              <w:pStyle w:val="TableText"/>
            </w:pPr>
            <w:r w:rsidRPr="000105A0">
              <w:t>Kadina</w:t>
            </w:r>
          </w:p>
        </w:tc>
        <w:tc>
          <w:tcPr>
            <w:tcW w:w="1667" w:type="pct"/>
          </w:tcPr>
          <w:p w:rsidR="000105A0" w:rsidRPr="000105A0" w:rsidRDefault="000105A0" w:rsidP="000105A0">
            <w:pPr>
              <w:pStyle w:val="TableText"/>
            </w:pPr>
            <w:r w:rsidRPr="000105A0">
              <w:t>5554</w:t>
            </w:r>
          </w:p>
        </w:tc>
      </w:tr>
      <w:tr w:rsidR="000105A0" w:rsidRPr="000105A0" w:rsidTr="008333FA">
        <w:tc>
          <w:tcPr>
            <w:tcW w:w="1666" w:type="pct"/>
          </w:tcPr>
          <w:p w:rsidR="000105A0" w:rsidRPr="000105A0" w:rsidRDefault="000105A0" w:rsidP="000105A0">
            <w:pPr>
              <w:pStyle w:val="TableText"/>
            </w:pPr>
          </w:p>
        </w:tc>
        <w:tc>
          <w:tcPr>
            <w:tcW w:w="1666" w:type="pct"/>
          </w:tcPr>
          <w:p w:rsidR="000105A0" w:rsidRPr="000105A0" w:rsidRDefault="000105A0" w:rsidP="000105A0">
            <w:pPr>
              <w:pStyle w:val="TableText"/>
            </w:pPr>
            <w:r w:rsidRPr="000105A0">
              <w:t>Wallaroo</w:t>
            </w:r>
          </w:p>
        </w:tc>
        <w:tc>
          <w:tcPr>
            <w:tcW w:w="1667" w:type="pct"/>
          </w:tcPr>
          <w:p w:rsidR="000105A0" w:rsidRPr="000105A0" w:rsidRDefault="000105A0" w:rsidP="000105A0">
            <w:pPr>
              <w:pStyle w:val="TableText"/>
            </w:pPr>
            <w:r w:rsidRPr="000105A0">
              <w:t>5556</w:t>
            </w:r>
          </w:p>
        </w:tc>
      </w:tr>
      <w:tr w:rsidR="000105A0" w:rsidRPr="000105A0" w:rsidTr="008333FA">
        <w:tc>
          <w:tcPr>
            <w:tcW w:w="1666" w:type="pct"/>
          </w:tcPr>
          <w:p w:rsidR="000105A0" w:rsidRPr="000105A0" w:rsidRDefault="000105A0" w:rsidP="000105A0">
            <w:pPr>
              <w:pStyle w:val="TableText"/>
            </w:pPr>
          </w:p>
        </w:tc>
        <w:tc>
          <w:tcPr>
            <w:tcW w:w="1666" w:type="pct"/>
          </w:tcPr>
          <w:p w:rsidR="000105A0" w:rsidRPr="000105A0" w:rsidRDefault="000105A0" w:rsidP="000105A0">
            <w:pPr>
              <w:pStyle w:val="TableText"/>
            </w:pPr>
            <w:r w:rsidRPr="000105A0">
              <w:t>Moonta Bay</w:t>
            </w:r>
          </w:p>
        </w:tc>
        <w:tc>
          <w:tcPr>
            <w:tcW w:w="1667" w:type="pct"/>
          </w:tcPr>
          <w:p w:rsidR="000105A0" w:rsidRPr="000105A0" w:rsidRDefault="000105A0" w:rsidP="000105A0">
            <w:pPr>
              <w:pStyle w:val="TableText"/>
            </w:pPr>
            <w:r w:rsidRPr="000105A0">
              <w:t>5558</w:t>
            </w:r>
          </w:p>
        </w:tc>
      </w:tr>
      <w:tr w:rsidR="000105A0" w:rsidRPr="000105A0" w:rsidTr="008333FA">
        <w:tc>
          <w:tcPr>
            <w:tcW w:w="1666" w:type="pct"/>
          </w:tcPr>
          <w:p w:rsidR="000105A0" w:rsidRPr="000105A0" w:rsidRDefault="000105A0" w:rsidP="000105A0">
            <w:pPr>
              <w:pStyle w:val="TableText"/>
            </w:pPr>
          </w:p>
        </w:tc>
        <w:tc>
          <w:tcPr>
            <w:tcW w:w="1666" w:type="pct"/>
          </w:tcPr>
          <w:p w:rsidR="000105A0" w:rsidRPr="000105A0" w:rsidRDefault="000105A0" w:rsidP="000105A0">
            <w:pPr>
              <w:pStyle w:val="TableText"/>
            </w:pPr>
            <w:r w:rsidRPr="000105A0">
              <w:t>Bute</w:t>
            </w:r>
          </w:p>
        </w:tc>
        <w:tc>
          <w:tcPr>
            <w:tcW w:w="1667" w:type="pct"/>
          </w:tcPr>
          <w:p w:rsidR="000105A0" w:rsidRPr="000105A0" w:rsidRDefault="000105A0" w:rsidP="000105A0">
            <w:pPr>
              <w:pStyle w:val="TableText"/>
            </w:pPr>
            <w:r w:rsidRPr="000105A0">
              <w:t>5560</w:t>
            </w:r>
          </w:p>
        </w:tc>
      </w:tr>
      <w:tr w:rsidR="000105A0" w:rsidRPr="000105A0" w:rsidTr="008333FA">
        <w:tc>
          <w:tcPr>
            <w:tcW w:w="1666" w:type="pct"/>
          </w:tcPr>
          <w:p w:rsidR="000105A0" w:rsidRPr="000105A0" w:rsidRDefault="000105A0" w:rsidP="000105A0">
            <w:pPr>
              <w:pStyle w:val="TableText"/>
            </w:pPr>
          </w:p>
        </w:tc>
        <w:tc>
          <w:tcPr>
            <w:tcW w:w="1666" w:type="pct"/>
          </w:tcPr>
          <w:p w:rsidR="000105A0" w:rsidRPr="000105A0" w:rsidRDefault="000105A0" w:rsidP="000105A0">
            <w:pPr>
              <w:pStyle w:val="TableText"/>
            </w:pPr>
            <w:r w:rsidRPr="000105A0">
              <w:t>Ardrossan</w:t>
            </w:r>
          </w:p>
        </w:tc>
        <w:tc>
          <w:tcPr>
            <w:tcW w:w="1667" w:type="pct"/>
          </w:tcPr>
          <w:p w:rsidR="000105A0" w:rsidRPr="000105A0" w:rsidRDefault="000105A0" w:rsidP="000105A0">
            <w:pPr>
              <w:pStyle w:val="TableText"/>
            </w:pPr>
            <w:r w:rsidRPr="000105A0">
              <w:t>5571</w:t>
            </w:r>
          </w:p>
        </w:tc>
      </w:tr>
      <w:tr w:rsidR="000105A0" w:rsidRPr="000105A0" w:rsidTr="008333FA">
        <w:tc>
          <w:tcPr>
            <w:tcW w:w="1666" w:type="pct"/>
          </w:tcPr>
          <w:p w:rsidR="000105A0" w:rsidRPr="000105A0" w:rsidRDefault="000105A0" w:rsidP="000105A0">
            <w:pPr>
              <w:pStyle w:val="TableText"/>
            </w:pPr>
          </w:p>
        </w:tc>
        <w:tc>
          <w:tcPr>
            <w:tcW w:w="1666" w:type="pct"/>
          </w:tcPr>
          <w:p w:rsidR="000105A0" w:rsidRPr="000105A0" w:rsidRDefault="000105A0" w:rsidP="000105A0">
            <w:pPr>
              <w:pStyle w:val="TableText"/>
            </w:pPr>
            <w:r w:rsidRPr="000105A0">
              <w:t>Maitland</w:t>
            </w:r>
          </w:p>
        </w:tc>
        <w:tc>
          <w:tcPr>
            <w:tcW w:w="1667" w:type="pct"/>
          </w:tcPr>
          <w:p w:rsidR="000105A0" w:rsidRPr="000105A0" w:rsidRDefault="000105A0" w:rsidP="000105A0">
            <w:pPr>
              <w:pStyle w:val="TableText"/>
            </w:pPr>
            <w:r w:rsidRPr="000105A0">
              <w:t>5573</w:t>
            </w:r>
          </w:p>
        </w:tc>
      </w:tr>
      <w:tr w:rsidR="000105A0" w:rsidRPr="000105A0" w:rsidTr="008333FA">
        <w:tc>
          <w:tcPr>
            <w:tcW w:w="1666" w:type="pct"/>
          </w:tcPr>
          <w:p w:rsidR="000105A0" w:rsidRPr="000105A0" w:rsidRDefault="000105A0" w:rsidP="000105A0">
            <w:pPr>
              <w:pStyle w:val="TableText"/>
            </w:pPr>
          </w:p>
        </w:tc>
        <w:tc>
          <w:tcPr>
            <w:tcW w:w="1666" w:type="pct"/>
          </w:tcPr>
          <w:p w:rsidR="000105A0" w:rsidRPr="000105A0" w:rsidRDefault="000105A0" w:rsidP="000105A0">
            <w:pPr>
              <w:pStyle w:val="TableText"/>
            </w:pPr>
            <w:r w:rsidRPr="000105A0">
              <w:t>Point Turton</w:t>
            </w:r>
          </w:p>
        </w:tc>
        <w:tc>
          <w:tcPr>
            <w:tcW w:w="1667" w:type="pct"/>
          </w:tcPr>
          <w:p w:rsidR="000105A0" w:rsidRPr="000105A0" w:rsidRDefault="000105A0" w:rsidP="000105A0">
            <w:pPr>
              <w:pStyle w:val="TableText"/>
            </w:pPr>
            <w:r w:rsidRPr="000105A0">
              <w:t>5575</w:t>
            </w:r>
          </w:p>
        </w:tc>
      </w:tr>
      <w:tr w:rsidR="000105A0" w:rsidRPr="000105A0" w:rsidTr="008333FA">
        <w:tc>
          <w:tcPr>
            <w:tcW w:w="1666" w:type="pct"/>
          </w:tcPr>
          <w:p w:rsidR="000105A0" w:rsidRPr="000105A0" w:rsidRDefault="000105A0" w:rsidP="000105A0">
            <w:pPr>
              <w:pStyle w:val="TableText"/>
            </w:pPr>
          </w:p>
        </w:tc>
        <w:tc>
          <w:tcPr>
            <w:tcW w:w="1666" w:type="pct"/>
          </w:tcPr>
          <w:p w:rsidR="000105A0" w:rsidRPr="000105A0" w:rsidRDefault="000105A0" w:rsidP="000105A0">
            <w:pPr>
              <w:pStyle w:val="TableText"/>
            </w:pPr>
            <w:r w:rsidRPr="000105A0">
              <w:t>Curramulka</w:t>
            </w:r>
          </w:p>
        </w:tc>
        <w:tc>
          <w:tcPr>
            <w:tcW w:w="1667" w:type="pct"/>
          </w:tcPr>
          <w:p w:rsidR="000105A0" w:rsidRPr="000105A0" w:rsidRDefault="000105A0" w:rsidP="000105A0">
            <w:pPr>
              <w:pStyle w:val="TableText"/>
            </w:pPr>
            <w:r w:rsidRPr="000105A0">
              <w:t>5580</w:t>
            </w:r>
          </w:p>
        </w:tc>
      </w:tr>
      <w:tr w:rsidR="000105A0" w:rsidRPr="000105A0" w:rsidTr="008333FA">
        <w:tc>
          <w:tcPr>
            <w:tcW w:w="1666" w:type="pct"/>
          </w:tcPr>
          <w:p w:rsidR="000105A0" w:rsidRPr="000105A0" w:rsidRDefault="000105A0" w:rsidP="000105A0">
            <w:pPr>
              <w:pStyle w:val="TableText"/>
            </w:pPr>
          </w:p>
        </w:tc>
        <w:tc>
          <w:tcPr>
            <w:tcW w:w="1666" w:type="pct"/>
          </w:tcPr>
          <w:p w:rsidR="000105A0" w:rsidRPr="000105A0" w:rsidRDefault="000105A0" w:rsidP="000105A0">
            <w:pPr>
              <w:pStyle w:val="TableText"/>
            </w:pPr>
            <w:r w:rsidRPr="000105A0">
              <w:t>Whyalla</w:t>
            </w:r>
          </w:p>
        </w:tc>
        <w:tc>
          <w:tcPr>
            <w:tcW w:w="1667" w:type="pct"/>
          </w:tcPr>
          <w:p w:rsidR="000105A0" w:rsidRPr="000105A0" w:rsidRDefault="000105A0" w:rsidP="000105A0">
            <w:pPr>
              <w:pStyle w:val="TableText"/>
            </w:pPr>
            <w:r w:rsidRPr="000105A0">
              <w:t>5600/08</w:t>
            </w:r>
          </w:p>
        </w:tc>
      </w:tr>
      <w:tr w:rsidR="000105A0" w:rsidRPr="000105A0" w:rsidTr="008333FA">
        <w:tc>
          <w:tcPr>
            <w:tcW w:w="1666" w:type="pct"/>
            <w:tcBorders>
              <w:bottom w:val="single" w:sz="4" w:space="0" w:color="auto"/>
            </w:tcBorders>
          </w:tcPr>
          <w:p w:rsidR="000105A0" w:rsidRPr="000105A0" w:rsidRDefault="000105A0" w:rsidP="000105A0">
            <w:pPr>
              <w:pStyle w:val="TableText"/>
            </w:pPr>
          </w:p>
        </w:tc>
        <w:tc>
          <w:tcPr>
            <w:tcW w:w="1666" w:type="pct"/>
            <w:tcBorders>
              <w:bottom w:val="single" w:sz="4" w:space="0" w:color="auto"/>
            </w:tcBorders>
          </w:tcPr>
          <w:p w:rsidR="000105A0" w:rsidRPr="000105A0" w:rsidRDefault="000105A0" w:rsidP="000105A0">
            <w:pPr>
              <w:pStyle w:val="TableText"/>
            </w:pPr>
            <w:r w:rsidRPr="000105A0">
              <w:t>Port Augusta</w:t>
            </w:r>
          </w:p>
        </w:tc>
        <w:tc>
          <w:tcPr>
            <w:tcW w:w="1667" w:type="pct"/>
            <w:tcBorders>
              <w:bottom w:val="single" w:sz="4" w:space="0" w:color="auto"/>
            </w:tcBorders>
          </w:tcPr>
          <w:p w:rsidR="000105A0" w:rsidRPr="000105A0" w:rsidRDefault="000105A0" w:rsidP="000105A0">
            <w:pPr>
              <w:pStyle w:val="TableText"/>
            </w:pPr>
            <w:r w:rsidRPr="000105A0">
              <w:t>5700</w:t>
            </w:r>
          </w:p>
        </w:tc>
      </w:tr>
      <w:tr w:rsidR="000105A0" w:rsidRPr="000105A0" w:rsidTr="008333FA">
        <w:tc>
          <w:tcPr>
            <w:tcW w:w="1666" w:type="pct"/>
            <w:tcBorders>
              <w:top w:val="single" w:sz="4" w:space="0" w:color="auto"/>
              <w:left w:val="single" w:sz="4" w:space="0" w:color="auto"/>
              <w:bottom w:val="single" w:sz="4" w:space="0" w:color="auto"/>
              <w:right w:val="nil"/>
            </w:tcBorders>
            <w:shd w:val="clear" w:color="auto" w:fill="BDD6EE" w:themeFill="accent1" w:themeFillTint="66"/>
          </w:tcPr>
          <w:p w:rsidR="000105A0" w:rsidRPr="000105A0" w:rsidRDefault="000105A0" w:rsidP="000105A0">
            <w:pPr>
              <w:pStyle w:val="TableText"/>
              <w:rPr>
                <w:b/>
              </w:rPr>
            </w:pPr>
            <w:r w:rsidRPr="000105A0">
              <w:rPr>
                <w:b/>
              </w:rPr>
              <w:t>Remote</w:t>
            </w:r>
          </w:p>
        </w:tc>
        <w:tc>
          <w:tcPr>
            <w:tcW w:w="1666" w:type="pct"/>
            <w:tcBorders>
              <w:top w:val="single" w:sz="4" w:space="0" w:color="auto"/>
              <w:left w:val="nil"/>
              <w:bottom w:val="single" w:sz="4" w:space="0" w:color="auto"/>
              <w:right w:val="nil"/>
            </w:tcBorders>
            <w:shd w:val="clear" w:color="auto" w:fill="BDD6EE" w:themeFill="accent1" w:themeFillTint="66"/>
          </w:tcPr>
          <w:p w:rsidR="000105A0" w:rsidRPr="000105A0" w:rsidRDefault="000105A0" w:rsidP="000105A0">
            <w:pPr>
              <w:pStyle w:val="TableText"/>
            </w:pPr>
          </w:p>
        </w:tc>
        <w:tc>
          <w:tcPr>
            <w:tcW w:w="1667" w:type="pct"/>
            <w:tcBorders>
              <w:top w:val="single" w:sz="4" w:space="0" w:color="auto"/>
              <w:left w:val="nil"/>
              <w:bottom w:val="single" w:sz="4" w:space="0" w:color="auto"/>
              <w:right w:val="single" w:sz="4" w:space="0" w:color="auto"/>
            </w:tcBorders>
            <w:shd w:val="clear" w:color="auto" w:fill="BDD6EE" w:themeFill="accent1" w:themeFillTint="66"/>
          </w:tcPr>
          <w:p w:rsidR="000105A0" w:rsidRPr="000105A0" w:rsidRDefault="000105A0" w:rsidP="000105A0">
            <w:pPr>
              <w:pStyle w:val="TableText"/>
            </w:pPr>
          </w:p>
        </w:tc>
      </w:tr>
      <w:tr w:rsidR="000105A0" w:rsidRPr="000105A0" w:rsidTr="008333FA">
        <w:tc>
          <w:tcPr>
            <w:tcW w:w="1666" w:type="pct"/>
            <w:tcBorders>
              <w:top w:val="single" w:sz="4" w:space="0" w:color="auto"/>
            </w:tcBorders>
          </w:tcPr>
          <w:p w:rsidR="000105A0" w:rsidRPr="000105A0" w:rsidRDefault="000105A0" w:rsidP="000105A0">
            <w:pPr>
              <w:pStyle w:val="TableText"/>
            </w:pPr>
          </w:p>
        </w:tc>
        <w:tc>
          <w:tcPr>
            <w:tcW w:w="1666" w:type="pct"/>
            <w:tcBorders>
              <w:top w:val="single" w:sz="4" w:space="0" w:color="auto"/>
            </w:tcBorders>
          </w:tcPr>
          <w:p w:rsidR="000105A0" w:rsidRPr="000105A0" w:rsidRDefault="000105A0" w:rsidP="000105A0">
            <w:pPr>
              <w:pStyle w:val="TableText"/>
            </w:pPr>
            <w:r w:rsidRPr="000105A0">
              <w:t>Kangaroo Island</w:t>
            </w:r>
          </w:p>
        </w:tc>
        <w:tc>
          <w:tcPr>
            <w:tcW w:w="1667" w:type="pct"/>
            <w:tcBorders>
              <w:top w:val="single" w:sz="4" w:space="0" w:color="auto"/>
            </w:tcBorders>
          </w:tcPr>
          <w:p w:rsidR="000105A0" w:rsidRPr="000105A0" w:rsidRDefault="000105A0" w:rsidP="000105A0">
            <w:pPr>
              <w:pStyle w:val="TableText"/>
            </w:pPr>
            <w:r w:rsidRPr="000105A0">
              <w:t>5223</w:t>
            </w:r>
          </w:p>
        </w:tc>
      </w:tr>
      <w:tr w:rsidR="000105A0" w:rsidRPr="000105A0" w:rsidTr="008333FA">
        <w:tc>
          <w:tcPr>
            <w:tcW w:w="1666" w:type="pct"/>
          </w:tcPr>
          <w:p w:rsidR="000105A0" w:rsidRPr="000105A0" w:rsidRDefault="000105A0" w:rsidP="000105A0">
            <w:pPr>
              <w:pStyle w:val="TableText"/>
            </w:pPr>
          </w:p>
        </w:tc>
        <w:tc>
          <w:tcPr>
            <w:tcW w:w="1666" w:type="pct"/>
          </w:tcPr>
          <w:p w:rsidR="000105A0" w:rsidRPr="000105A0" w:rsidRDefault="000105A0" w:rsidP="000105A0">
            <w:pPr>
              <w:pStyle w:val="TableText"/>
            </w:pPr>
            <w:r w:rsidRPr="000105A0">
              <w:t>Lameroo</w:t>
            </w:r>
          </w:p>
        </w:tc>
        <w:tc>
          <w:tcPr>
            <w:tcW w:w="1667" w:type="pct"/>
          </w:tcPr>
          <w:p w:rsidR="000105A0" w:rsidRPr="000105A0" w:rsidRDefault="000105A0" w:rsidP="000105A0">
            <w:pPr>
              <w:pStyle w:val="TableText"/>
            </w:pPr>
            <w:r w:rsidRPr="000105A0">
              <w:t>5302</w:t>
            </w:r>
          </w:p>
        </w:tc>
      </w:tr>
      <w:tr w:rsidR="000105A0" w:rsidRPr="000105A0" w:rsidTr="008333FA">
        <w:tc>
          <w:tcPr>
            <w:tcW w:w="1666" w:type="pct"/>
          </w:tcPr>
          <w:p w:rsidR="000105A0" w:rsidRPr="000105A0" w:rsidRDefault="000105A0" w:rsidP="000105A0">
            <w:pPr>
              <w:pStyle w:val="TableText"/>
            </w:pPr>
          </w:p>
        </w:tc>
        <w:tc>
          <w:tcPr>
            <w:tcW w:w="1666" w:type="pct"/>
          </w:tcPr>
          <w:p w:rsidR="000105A0" w:rsidRPr="000105A0" w:rsidRDefault="000105A0" w:rsidP="000105A0">
            <w:pPr>
              <w:pStyle w:val="TableText"/>
            </w:pPr>
            <w:r w:rsidRPr="000105A0">
              <w:t>Yorketown</w:t>
            </w:r>
          </w:p>
        </w:tc>
        <w:tc>
          <w:tcPr>
            <w:tcW w:w="1667" w:type="pct"/>
          </w:tcPr>
          <w:p w:rsidR="000105A0" w:rsidRPr="000105A0" w:rsidRDefault="000105A0" w:rsidP="000105A0">
            <w:pPr>
              <w:pStyle w:val="TableText"/>
            </w:pPr>
            <w:r w:rsidRPr="000105A0">
              <w:t>5576</w:t>
            </w:r>
          </w:p>
        </w:tc>
      </w:tr>
      <w:tr w:rsidR="000105A0" w:rsidRPr="000105A0" w:rsidTr="008333FA">
        <w:tc>
          <w:tcPr>
            <w:tcW w:w="1666" w:type="pct"/>
          </w:tcPr>
          <w:p w:rsidR="000105A0" w:rsidRPr="000105A0" w:rsidRDefault="000105A0" w:rsidP="000105A0">
            <w:pPr>
              <w:pStyle w:val="TableText"/>
            </w:pPr>
          </w:p>
        </w:tc>
        <w:tc>
          <w:tcPr>
            <w:tcW w:w="1666" w:type="pct"/>
          </w:tcPr>
          <w:p w:rsidR="000105A0" w:rsidRPr="000105A0" w:rsidRDefault="000105A0" w:rsidP="000105A0">
            <w:pPr>
              <w:pStyle w:val="TableText"/>
            </w:pPr>
            <w:r w:rsidRPr="000105A0">
              <w:t>Stansbury</w:t>
            </w:r>
          </w:p>
        </w:tc>
        <w:tc>
          <w:tcPr>
            <w:tcW w:w="1667" w:type="pct"/>
          </w:tcPr>
          <w:p w:rsidR="000105A0" w:rsidRPr="000105A0" w:rsidRDefault="000105A0" w:rsidP="000105A0">
            <w:pPr>
              <w:pStyle w:val="TableText"/>
            </w:pPr>
            <w:r w:rsidRPr="000105A0">
              <w:t>5582</w:t>
            </w:r>
          </w:p>
        </w:tc>
      </w:tr>
      <w:tr w:rsidR="000105A0" w:rsidRPr="000105A0" w:rsidTr="008333FA">
        <w:tc>
          <w:tcPr>
            <w:tcW w:w="1666" w:type="pct"/>
          </w:tcPr>
          <w:p w:rsidR="000105A0" w:rsidRPr="000105A0" w:rsidRDefault="000105A0" w:rsidP="000105A0">
            <w:pPr>
              <w:pStyle w:val="TableText"/>
            </w:pPr>
          </w:p>
        </w:tc>
        <w:tc>
          <w:tcPr>
            <w:tcW w:w="1666" w:type="pct"/>
          </w:tcPr>
          <w:p w:rsidR="000105A0" w:rsidRPr="000105A0" w:rsidRDefault="000105A0" w:rsidP="000105A0">
            <w:pPr>
              <w:pStyle w:val="TableText"/>
            </w:pPr>
            <w:r w:rsidRPr="000105A0">
              <w:t>Cowell</w:t>
            </w:r>
          </w:p>
        </w:tc>
        <w:tc>
          <w:tcPr>
            <w:tcW w:w="1667" w:type="pct"/>
          </w:tcPr>
          <w:p w:rsidR="000105A0" w:rsidRPr="000105A0" w:rsidRDefault="000105A0" w:rsidP="000105A0">
            <w:pPr>
              <w:pStyle w:val="TableText"/>
            </w:pPr>
            <w:r w:rsidRPr="000105A0">
              <w:t>5602</w:t>
            </w:r>
          </w:p>
        </w:tc>
      </w:tr>
      <w:tr w:rsidR="000105A0" w:rsidRPr="000105A0" w:rsidTr="008333FA">
        <w:tc>
          <w:tcPr>
            <w:tcW w:w="1666" w:type="pct"/>
          </w:tcPr>
          <w:p w:rsidR="000105A0" w:rsidRPr="000105A0" w:rsidRDefault="000105A0" w:rsidP="000105A0">
            <w:pPr>
              <w:pStyle w:val="TableText"/>
            </w:pPr>
          </w:p>
        </w:tc>
        <w:tc>
          <w:tcPr>
            <w:tcW w:w="1666" w:type="pct"/>
          </w:tcPr>
          <w:p w:rsidR="000105A0" w:rsidRPr="000105A0" w:rsidRDefault="000105A0" w:rsidP="000105A0">
            <w:pPr>
              <w:pStyle w:val="TableText"/>
            </w:pPr>
            <w:r w:rsidRPr="000105A0">
              <w:t>Arno Bay</w:t>
            </w:r>
          </w:p>
        </w:tc>
        <w:tc>
          <w:tcPr>
            <w:tcW w:w="1667" w:type="pct"/>
          </w:tcPr>
          <w:p w:rsidR="000105A0" w:rsidRPr="000105A0" w:rsidRDefault="000105A0" w:rsidP="000105A0">
            <w:pPr>
              <w:pStyle w:val="TableText"/>
            </w:pPr>
            <w:r w:rsidRPr="000105A0">
              <w:t>5603</w:t>
            </w:r>
          </w:p>
        </w:tc>
      </w:tr>
      <w:tr w:rsidR="000105A0" w:rsidRPr="000105A0" w:rsidTr="008333FA">
        <w:tc>
          <w:tcPr>
            <w:tcW w:w="1666" w:type="pct"/>
          </w:tcPr>
          <w:p w:rsidR="000105A0" w:rsidRPr="000105A0" w:rsidRDefault="000105A0" w:rsidP="000105A0">
            <w:pPr>
              <w:pStyle w:val="TableText"/>
            </w:pPr>
          </w:p>
        </w:tc>
        <w:tc>
          <w:tcPr>
            <w:tcW w:w="1666" w:type="pct"/>
          </w:tcPr>
          <w:p w:rsidR="000105A0" w:rsidRPr="000105A0" w:rsidRDefault="000105A0" w:rsidP="000105A0">
            <w:pPr>
              <w:pStyle w:val="TableText"/>
            </w:pPr>
            <w:r w:rsidRPr="000105A0">
              <w:t>Port Lincoln</w:t>
            </w:r>
          </w:p>
        </w:tc>
        <w:tc>
          <w:tcPr>
            <w:tcW w:w="1667" w:type="pct"/>
          </w:tcPr>
          <w:p w:rsidR="000105A0" w:rsidRPr="000105A0" w:rsidRDefault="000105A0" w:rsidP="000105A0">
            <w:pPr>
              <w:pStyle w:val="TableText"/>
            </w:pPr>
            <w:r w:rsidRPr="000105A0">
              <w:t>5606</w:t>
            </w:r>
          </w:p>
        </w:tc>
      </w:tr>
      <w:tr w:rsidR="000105A0" w:rsidRPr="000105A0" w:rsidTr="008333FA">
        <w:tc>
          <w:tcPr>
            <w:tcW w:w="1666" w:type="pct"/>
          </w:tcPr>
          <w:p w:rsidR="000105A0" w:rsidRPr="000105A0" w:rsidRDefault="000105A0" w:rsidP="000105A0">
            <w:pPr>
              <w:pStyle w:val="TableText"/>
            </w:pPr>
          </w:p>
        </w:tc>
        <w:tc>
          <w:tcPr>
            <w:tcW w:w="1666" w:type="pct"/>
          </w:tcPr>
          <w:p w:rsidR="000105A0" w:rsidRPr="000105A0" w:rsidRDefault="000105A0" w:rsidP="000105A0">
            <w:pPr>
              <w:pStyle w:val="TableText"/>
            </w:pPr>
            <w:r w:rsidRPr="000105A0">
              <w:t>Cummins</w:t>
            </w:r>
          </w:p>
        </w:tc>
        <w:tc>
          <w:tcPr>
            <w:tcW w:w="1667" w:type="pct"/>
          </w:tcPr>
          <w:p w:rsidR="000105A0" w:rsidRPr="000105A0" w:rsidRDefault="000105A0" w:rsidP="000105A0">
            <w:pPr>
              <w:pStyle w:val="TableText"/>
            </w:pPr>
            <w:r w:rsidRPr="000105A0">
              <w:t>5631</w:t>
            </w:r>
          </w:p>
        </w:tc>
      </w:tr>
      <w:tr w:rsidR="000105A0" w:rsidRPr="000105A0" w:rsidTr="008333FA">
        <w:tc>
          <w:tcPr>
            <w:tcW w:w="1666" w:type="pct"/>
          </w:tcPr>
          <w:p w:rsidR="000105A0" w:rsidRPr="000105A0" w:rsidRDefault="000105A0" w:rsidP="000105A0">
            <w:pPr>
              <w:pStyle w:val="TableText"/>
            </w:pPr>
          </w:p>
        </w:tc>
        <w:tc>
          <w:tcPr>
            <w:tcW w:w="1666" w:type="pct"/>
          </w:tcPr>
          <w:p w:rsidR="000105A0" w:rsidRPr="000105A0" w:rsidRDefault="000105A0" w:rsidP="000105A0">
            <w:pPr>
              <w:pStyle w:val="TableText"/>
            </w:pPr>
            <w:r w:rsidRPr="000105A0">
              <w:t>Cleve</w:t>
            </w:r>
          </w:p>
        </w:tc>
        <w:tc>
          <w:tcPr>
            <w:tcW w:w="1667" w:type="pct"/>
          </w:tcPr>
          <w:p w:rsidR="000105A0" w:rsidRPr="000105A0" w:rsidRDefault="000105A0" w:rsidP="000105A0">
            <w:pPr>
              <w:pStyle w:val="TableText"/>
            </w:pPr>
            <w:r w:rsidRPr="000105A0">
              <w:t>5640</w:t>
            </w:r>
          </w:p>
        </w:tc>
      </w:tr>
      <w:tr w:rsidR="000105A0" w:rsidRPr="000105A0" w:rsidTr="008333FA">
        <w:tc>
          <w:tcPr>
            <w:tcW w:w="1666" w:type="pct"/>
          </w:tcPr>
          <w:p w:rsidR="000105A0" w:rsidRPr="000105A0" w:rsidRDefault="000105A0" w:rsidP="000105A0">
            <w:pPr>
              <w:pStyle w:val="TableText"/>
            </w:pPr>
          </w:p>
        </w:tc>
        <w:tc>
          <w:tcPr>
            <w:tcW w:w="1666" w:type="pct"/>
          </w:tcPr>
          <w:p w:rsidR="000105A0" w:rsidRPr="000105A0" w:rsidRDefault="000105A0" w:rsidP="000105A0">
            <w:pPr>
              <w:pStyle w:val="TableText"/>
            </w:pPr>
            <w:r w:rsidRPr="000105A0">
              <w:t>Kimba</w:t>
            </w:r>
          </w:p>
        </w:tc>
        <w:tc>
          <w:tcPr>
            <w:tcW w:w="1667" w:type="pct"/>
          </w:tcPr>
          <w:p w:rsidR="000105A0" w:rsidRPr="000105A0" w:rsidRDefault="000105A0" w:rsidP="000105A0">
            <w:pPr>
              <w:pStyle w:val="TableText"/>
            </w:pPr>
            <w:r w:rsidRPr="000105A0">
              <w:t>5641</w:t>
            </w:r>
          </w:p>
        </w:tc>
      </w:tr>
      <w:tr w:rsidR="000105A0" w:rsidRPr="000105A0" w:rsidTr="008333FA">
        <w:tc>
          <w:tcPr>
            <w:tcW w:w="1666" w:type="pct"/>
          </w:tcPr>
          <w:p w:rsidR="000105A0" w:rsidRPr="000105A0" w:rsidRDefault="000105A0" w:rsidP="000105A0">
            <w:pPr>
              <w:pStyle w:val="TableText"/>
            </w:pPr>
          </w:p>
        </w:tc>
        <w:tc>
          <w:tcPr>
            <w:tcW w:w="1666" w:type="pct"/>
          </w:tcPr>
          <w:p w:rsidR="000105A0" w:rsidRPr="000105A0" w:rsidRDefault="000105A0" w:rsidP="000105A0">
            <w:pPr>
              <w:pStyle w:val="TableText"/>
            </w:pPr>
            <w:r w:rsidRPr="000105A0">
              <w:t>Murlong</w:t>
            </w:r>
          </w:p>
        </w:tc>
        <w:tc>
          <w:tcPr>
            <w:tcW w:w="1667" w:type="pct"/>
          </w:tcPr>
          <w:p w:rsidR="000105A0" w:rsidRPr="000105A0" w:rsidRDefault="000105A0" w:rsidP="000105A0">
            <w:pPr>
              <w:pStyle w:val="TableText"/>
            </w:pPr>
            <w:r w:rsidRPr="000105A0">
              <w:t>5642</w:t>
            </w:r>
          </w:p>
        </w:tc>
      </w:tr>
      <w:tr w:rsidR="000105A0" w:rsidRPr="000105A0" w:rsidTr="008333FA">
        <w:tc>
          <w:tcPr>
            <w:tcW w:w="1666" w:type="pct"/>
            <w:tcBorders>
              <w:bottom w:val="single" w:sz="4" w:space="0" w:color="auto"/>
            </w:tcBorders>
          </w:tcPr>
          <w:p w:rsidR="000105A0" w:rsidRPr="000105A0" w:rsidRDefault="000105A0" w:rsidP="000105A0">
            <w:pPr>
              <w:pStyle w:val="TableText"/>
            </w:pPr>
          </w:p>
        </w:tc>
        <w:tc>
          <w:tcPr>
            <w:tcW w:w="1666" w:type="pct"/>
            <w:tcBorders>
              <w:bottom w:val="single" w:sz="4" w:space="0" w:color="auto"/>
            </w:tcBorders>
          </w:tcPr>
          <w:p w:rsidR="000105A0" w:rsidRPr="000105A0" w:rsidRDefault="000105A0" w:rsidP="000105A0">
            <w:pPr>
              <w:pStyle w:val="TableText"/>
            </w:pPr>
            <w:r w:rsidRPr="000105A0">
              <w:t>Roxby Downs</w:t>
            </w:r>
          </w:p>
        </w:tc>
        <w:tc>
          <w:tcPr>
            <w:tcW w:w="1667" w:type="pct"/>
            <w:tcBorders>
              <w:bottom w:val="single" w:sz="4" w:space="0" w:color="auto"/>
            </w:tcBorders>
          </w:tcPr>
          <w:p w:rsidR="000105A0" w:rsidRPr="000105A0" w:rsidRDefault="000105A0" w:rsidP="000105A0">
            <w:pPr>
              <w:pStyle w:val="TableText"/>
            </w:pPr>
            <w:r w:rsidRPr="000105A0">
              <w:t>5725</w:t>
            </w:r>
          </w:p>
        </w:tc>
      </w:tr>
      <w:tr w:rsidR="000105A0" w:rsidRPr="000105A0" w:rsidTr="008333FA">
        <w:tc>
          <w:tcPr>
            <w:tcW w:w="1666" w:type="pct"/>
            <w:tcBorders>
              <w:top w:val="single" w:sz="4" w:space="0" w:color="auto"/>
              <w:left w:val="single" w:sz="4" w:space="0" w:color="auto"/>
              <w:bottom w:val="single" w:sz="4" w:space="0" w:color="auto"/>
              <w:right w:val="nil"/>
            </w:tcBorders>
            <w:shd w:val="clear" w:color="auto" w:fill="BDD6EE" w:themeFill="accent1" w:themeFillTint="66"/>
          </w:tcPr>
          <w:p w:rsidR="000105A0" w:rsidRPr="000105A0" w:rsidRDefault="000105A0" w:rsidP="000105A0">
            <w:pPr>
              <w:pStyle w:val="TableText"/>
              <w:rPr>
                <w:b/>
              </w:rPr>
            </w:pPr>
            <w:r w:rsidRPr="000105A0">
              <w:rPr>
                <w:b/>
              </w:rPr>
              <w:t>Very Remote</w:t>
            </w:r>
          </w:p>
        </w:tc>
        <w:tc>
          <w:tcPr>
            <w:tcW w:w="1666" w:type="pct"/>
            <w:tcBorders>
              <w:top w:val="single" w:sz="4" w:space="0" w:color="auto"/>
              <w:left w:val="nil"/>
              <w:bottom w:val="single" w:sz="4" w:space="0" w:color="auto"/>
              <w:right w:val="nil"/>
            </w:tcBorders>
            <w:shd w:val="clear" w:color="auto" w:fill="BDD6EE" w:themeFill="accent1" w:themeFillTint="66"/>
          </w:tcPr>
          <w:p w:rsidR="000105A0" w:rsidRPr="000105A0" w:rsidRDefault="000105A0" w:rsidP="000105A0">
            <w:pPr>
              <w:pStyle w:val="TableText"/>
              <w:rPr>
                <w:b/>
              </w:rPr>
            </w:pPr>
          </w:p>
        </w:tc>
        <w:tc>
          <w:tcPr>
            <w:tcW w:w="1667" w:type="pct"/>
            <w:tcBorders>
              <w:top w:val="single" w:sz="4" w:space="0" w:color="auto"/>
              <w:left w:val="nil"/>
              <w:bottom w:val="single" w:sz="4" w:space="0" w:color="auto"/>
              <w:right w:val="single" w:sz="4" w:space="0" w:color="auto"/>
            </w:tcBorders>
            <w:shd w:val="clear" w:color="auto" w:fill="BDD6EE" w:themeFill="accent1" w:themeFillTint="66"/>
          </w:tcPr>
          <w:p w:rsidR="000105A0" w:rsidRPr="000105A0" w:rsidRDefault="000105A0" w:rsidP="000105A0">
            <w:pPr>
              <w:pStyle w:val="TableText"/>
              <w:rPr>
                <w:b/>
              </w:rPr>
            </w:pPr>
          </w:p>
        </w:tc>
      </w:tr>
      <w:tr w:rsidR="000105A0" w:rsidRPr="000105A0" w:rsidTr="008333FA">
        <w:tc>
          <w:tcPr>
            <w:tcW w:w="1666" w:type="pct"/>
            <w:tcBorders>
              <w:top w:val="single" w:sz="4" w:space="0" w:color="auto"/>
            </w:tcBorders>
          </w:tcPr>
          <w:p w:rsidR="000105A0" w:rsidRPr="000105A0" w:rsidRDefault="000105A0" w:rsidP="000105A0">
            <w:pPr>
              <w:pStyle w:val="TableText"/>
            </w:pPr>
          </w:p>
        </w:tc>
        <w:tc>
          <w:tcPr>
            <w:tcW w:w="1666" w:type="pct"/>
            <w:tcBorders>
              <w:top w:val="single" w:sz="4" w:space="0" w:color="auto"/>
            </w:tcBorders>
          </w:tcPr>
          <w:p w:rsidR="000105A0" w:rsidRPr="000105A0" w:rsidRDefault="000105A0" w:rsidP="000105A0">
            <w:pPr>
              <w:pStyle w:val="TableText"/>
            </w:pPr>
            <w:r w:rsidRPr="000105A0">
              <w:t>Wudinna</w:t>
            </w:r>
          </w:p>
        </w:tc>
        <w:tc>
          <w:tcPr>
            <w:tcW w:w="1667" w:type="pct"/>
            <w:tcBorders>
              <w:top w:val="single" w:sz="4" w:space="0" w:color="auto"/>
            </w:tcBorders>
          </w:tcPr>
          <w:p w:rsidR="000105A0" w:rsidRPr="000105A0" w:rsidRDefault="000105A0" w:rsidP="000105A0">
            <w:pPr>
              <w:pStyle w:val="TableText"/>
            </w:pPr>
            <w:r w:rsidRPr="000105A0">
              <w:t>5652</w:t>
            </w:r>
          </w:p>
        </w:tc>
      </w:tr>
      <w:tr w:rsidR="000105A0" w:rsidRPr="000105A0" w:rsidTr="008333FA">
        <w:tc>
          <w:tcPr>
            <w:tcW w:w="1666" w:type="pct"/>
          </w:tcPr>
          <w:p w:rsidR="000105A0" w:rsidRPr="000105A0" w:rsidRDefault="000105A0" w:rsidP="000105A0">
            <w:pPr>
              <w:pStyle w:val="TableText"/>
            </w:pPr>
          </w:p>
        </w:tc>
        <w:tc>
          <w:tcPr>
            <w:tcW w:w="1666" w:type="pct"/>
          </w:tcPr>
          <w:p w:rsidR="000105A0" w:rsidRPr="000105A0" w:rsidRDefault="000105A0" w:rsidP="000105A0">
            <w:pPr>
              <w:pStyle w:val="TableText"/>
            </w:pPr>
            <w:r w:rsidRPr="000105A0">
              <w:t>Mount Damper</w:t>
            </w:r>
          </w:p>
        </w:tc>
        <w:tc>
          <w:tcPr>
            <w:tcW w:w="1667" w:type="pct"/>
          </w:tcPr>
          <w:p w:rsidR="000105A0" w:rsidRPr="000105A0" w:rsidRDefault="000105A0" w:rsidP="000105A0">
            <w:pPr>
              <w:pStyle w:val="TableText"/>
            </w:pPr>
            <w:r w:rsidRPr="000105A0">
              <w:t>5654</w:t>
            </w:r>
          </w:p>
        </w:tc>
      </w:tr>
      <w:tr w:rsidR="000105A0" w:rsidRPr="000105A0" w:rsidTr="008333FA">
        <w:tc>
          <w:tcPr>
            <w:tcW w:w="1666" w:type="pct"/>
          </w:tcPr>
          <w:p w:rsidR="000105A0" w:rsidRPr="000105A0" w:rsidRDefault="000105A0" w:rsidP="000105A0">
            <w:pPr>
              <w:pStyle w:val="TableText"/>
            </w:pPr>
          </w:p>
        </w:tc>
        <w:tc>
          <w:tcPr>
            <w:tcW w:w="1666" w:type="pct"/>
          </w:tcPr>
          <w:p w:rsidR="000105A0" w:rsidRPr="000105A0" w:rsidRDefault="000105A0" w:rsidP="000105A0">
            <w:pPr>
              <w:pStyle w:val="TableText"/>
            </w:pPr>
            <w:r w:rsidRPr="000105A0">
              <w:t>Wallala</w:t>
            </w:r>
          </w:p>
        </w:tc>
        <w:tc>
          <w:tcPr>
            <w:tcW w:w="1667" w:type="pct"/>
          </w:tcPr>
          <w:p w:rsidR="000105A0" w:rsidRPr="000105A0" w:rsidRDefault="000105A0" w:rsidP="000105A0">
            <w:pPr>
              <w:pStyle w:val="TableText"/>
            </w:pPr>
            <w:r w:rsidRPr="000105A0">
              <w:t>5661</w:t>
            </w:r>
          </w:p>
        </w:tc>
      </w:tr>
      <w:tr w:rsidR="000105A0" w:rsidRPr="000105A0" w:rsidTr="008333FA">
        <w:tc>
          <w:tcPr>
            <w:tcW w:w="1666" w:type="pct"/>
          </w:tcPr>
          <w:p w:rsidR="000105A0" w:rsidRPr="000105A0" w:rsidRDefault="000105A0" w:rsidP="000105A0">
            <w:pPr>
              <w:pStyle w:val="TableText"/>
            </w:pPr>
          </w:p>
        </w:tc>
        <w:tc>
          <w:tcPr>
            <w:tcW w:w="1666" w:type="pct"/>
          </w:tcPr>
          <w:p w:rsidR="000105A0" w:rsidRPr="000105A0" w:rsidRDefault="000105A0" w:rsidP="000105A0">
            <w:pPr>
              <w:pStyle w:val="TableText"/>
            </w:pPr>
            <w:r w:rsidRPr="000105A0">
              <w:t>Elliston</w:t>
            </w:r>
          </w:p>
        </w:tc>
        <w:tc>
          <w:tcPr>
            <w:tcW w:w="1667" w:type="pct"/>
          </w:tcPr>
          <w:p w:rsidR="000105A0" w:rsidRPr="000105A0" w:rsidRDefault="000105A0" w:rsidP="000105A0">
            <w:pPr>
              <w:pStyle w:val="TableText"/>
            </w:pPr>
            <w:r w:rsidRPr="000105A0">
              <w:t>5670</w:t>
            </w:r>
          </w:p>
        </w:tc>
      </w:tr>
      <w:tr w:rsidR="000105A0" w:rsidRPr="000105A0" w:rsidTr="008333FA">
        <w:tc>
          <w:tcPr>
            <w:tcW w:w="1666" w:type="pct"/>
          </w:tcPr>
          <w:p w:rsidR="000105A0" w:rsidRPr="000105A0" w:rsidRDefault="000105A0" w:rsidP="000105A0">
            <w:pPr>
              <w:pStyle w:val="TableText"/>
            </w:pPr>
          </w:p>
        </w:tc>
        <w:tc>
          <w:tcPr>
            <w:tcW w:w="1666" w:type="pct"/>
          </w:tcPr>
          <w:p w:rsidR="000105A0" w:rsidRPr="000105A0" w:rsidRDefault="000105A0" w:rsidP="000105A0">
            <w:pPr>
              <w:pStyle w:val="TableText"/>
            </w:pPr>
            <w:r w:rsidRPr="000105A0">
              <w:t>Streaky Bay</w:t>
            </w:r>
          </w:p>
        </w:tc>
        <w:tc>
          <w:tcPr>
            <w:tcW w:w="1667" w:type="pct"/>
          </w:tcPr>
          <w:p w:rsidR="000105A0" w:rsidRPr="000105A0" w:rsidRDefault="000105A0" w:rsidP="000105A0">
            <w:pPr>
              <w:pStyle w:val="TableText"/>
            </w:pPr>
            <w:r w:rsidRPr="000105A0">
              <w:t>5680</w:t>
            </w:r>
          </w:p>
        </w:tc>
      </w:tr>
      <w:tr w:rsidR="000105A0" w:rsidRPr="000105A0" w:rsidTr="008333FA">
        <w:tc>
          <w:tcPr>
            <w:tcW w:w="1666" w:type="pct"/>
          </w:tcPr>
          <w:p w:rsidR="000105A0" w:rsidRPr="000105A0" w:rsidRDefault="000105A0" w:rsidP="000105A0">
            <w:pPr>
              <w:pStyle w:val="TableText"/>
            </w:pPr>
          </w:p>
        </w:tc>
        <w:tc>
          <w:tcPr>
            <w:tcW w:w="1666" w:type="pct"/>
          </w:tcPr>
          <w:p w:rsidR="000105A0" w:rsidRPr="000105A0" w:rsidRDefault="000105A0" w:rsidP="000105A0">
            <w:pPr>
              <w:pStyle w:val="TableText"/>
            </w:pPr>
            <w:r w:rsidRPr="000105A0">
              <w:t>Ceduna</w:t>
            </w:r>
          </w:p>
        </w:tc>
        <w:tc>
          <w:tcPr>
            <w:tcW w:w="1667" w:type="pct"/>
          </w:tcPr>
          <w:p w:rsidR="000105A0" w:rsidRPr="000105A0" w:rsidRDefault="000105A0" w:rsidP="000105A0">
            <w:pPr>
              <w:pStyle w:val="TableText"/>
            </w:pPr>
            <w:r w:rsidRPr="000105A0">
              <w:t>5690</w:t>
            </w:r>
          </w:p>
        </w:tc>
      </w:tr>
      <w:tr w:rsidR="000105A0" w:rsidRPr="000105A0" w:rsidTr="008333FA">
        <w:tc>
          <w:tcPr>
            <w:tcW w:w="1666" w:type="pct"/>
          </w:tcPr>
          <w:p w:rsidR="000105A0" w:rsidRPr="000105A0" w:rsidRDefault="000105A0" w:rsidP="000105A0">
            <w:pPr>
              <w:pStyle w:val="TableText"/>
            </w:pPr>
          </w:p>
        </w:tc>
        <w:tc>
          <w:tcPr>
            <w:tcW w:w="1666" w:type="pct"/>
          </w:tcPr>
          <w:p w:rsidR="000105A0" w:rsidRPr="000105A0" w:rsidRDefault="000105A0" w:rsidP="000105A0">
            <w:pPr>
              <w:pStyle w:val="TableText"/>
            </w:pPr>
            <w:r w:rsidRPr="000105A0">
              <w:t>Leigh Creek</w:t>
            </w:r>
          </w:p>
        </w:tc>
        <w:tc>
          <w:tcPr>
            <w:tcW w:w="1667" w:type="pct"/>
          </w:tcPr>
          <w:p w:rsidR="000105A0" w:rsidRPr="000105A0" w:rsidRDefault="000105A0" w:rsidP="000105A0">
            <w:pPr>
              <w:pStyle w:val="TableText"/>
            </w:pPr>
            <w:r w:rsidRPr="000105A0">
              <w:t>5731</w:t>
            </w:r>
          </w:p>
        </w:tc>
      </w:tr>
    </w:tbl>
    <w:p w:rsidR="002C135A" w:rsidRDefault="002C135A" w:rsidP="000D5ABF">
      <w:pPr>
        <w:rPr>
          <w:lang w:val="en-US"/>
        </w:rPr>
      </w:pPr>
    </w:p>
    <w:p w:rsidR="00FE12E1" w:rsidRDefault="002C135A" w:rsidP="002C135A">
      <w:pPr>
        <w:pStyle w:val="Heading1"/>
        <w:rPr>
          <w:lang w:val="en-US"/>
        </w:rPr>
      </w:pPr>
      <w:bookmarkStart w:id="85" w:name="_Toc517270354"/>
      <w:r>
        <w:rPr>
          <w:lang w:val="en-US"/>
        </w:rPr>
        <w:t>Appendix B</w:t>
      </w:r>
      <w:bookmarkEnd w:id="85"/>
    </w:p>
    <w:p w:rsidR="002C135A" w:rsidRDefault="002C135A" w:rsidP="002C135A">
      <w:pPr>
        <w:pStyle w:val="Heading2"/>
        <w:rPr>
          <w:lang w:val="en-US"/>
        </w:rPr>
      </w:pPr>
      <w:bookmarkStart w:id="86" w:name="_Toc517270355"/>
      <w:r>
        <w:rPr>
          <w:lang w:val="en-US"/>
        </w:rPr>
        <w:t>Interview Questions and Prompts</w:t>
      </w:r>
      <w:bookmarkEnd w:id="86"/>
    </w:p>
    <w:p w:rsidR="002C135A" w:rsidRPr="002C135A" w:rsidRDefault="002C135A" w:rsidP="002C135A">
      <w:pPr>
        <w:rPr>
          <w:lang w:val="en-US"/>
        </w:rPr>
      </w:pPr>
      <w:r w:rsidRPr="002C135A">
        <w:rPr>
          <w:lang w:val="en-US"/>
        </w:rPr>
        <w:t>1.</w:t>
      </w:r>
      <w:r w:rsidRPr="002C135A">
        <w:rPr>
          <w:lang w:val="en-US"/>
        </w:rPr>
        <w:tab/>
        <w:t xml:space="preserve">Do you recall what prompted you </w:t>
      </w:r>
      <w:r>
        <w:rPr>
          <w:lang w:val="en-US"/>
        </w:rPr>
        <w:t>to volunteer to be interviewed?</w:t>
      </w:r>
    </w:p>
    <w:p w:rsidR="002C135A" w:rsidRPr="002C135A" w:rsidRDefault="002C135A" w:rsidP="002C135A">
      <w:pPr>
        <w:pStyle w:val="Bullets"/>
        <w:rPr>
          <w:lang w:val="en-US"/>
        </w:rPr>
      </w:pPr>
      <w:r>
        <w:rPr>
          <w:lang w:val="en-US"/>
        </w:rPr>
        <w:t>Indicative prompt:</w:t>
      </w:r>
    </w:p>
    <w:p w:rsidR="002C135A" w:rsidRPr="002C135A" w:rsidRDefault="002C135A" w:rsidP="002C135A">
      <w:pPr>
        <w:pStyle w:val="Bullets"/>
        <w:numPr>
          <w:ilvl w:val="1"/>
          <w:numId w:val="1"/>
        </w:numPr>
        <w:rPr>
          <w:lang w:val="en-US"/>
        </w:rPr>
      </w:pPr>
      <w:r w:rsidRPr="002C135A">
        <w:rPr>
          <w:lang w:val="en-US"/>
        </w:rPr>
        <w:t>Was there a question or section in the survey that yo</w:t>
      </w:r>
      <w:r>
        <w:rPr>
          <w:lang w:val="en-US"/>
        </w:rPr>
        <w:t>u may have wanted to expand on?</w:t>
      </w:r>
    </w:p>
    <w:p w:rsidR="002C135A" w:rsidRPr="002C135A" w:rsidRDefault="002C135A" w:rsidP="002C135A">
      <w:pPr>
        <w:rPr>
          <w:lang w:val="en-US"/>
        </w:rPr>
      </w:pPr>
      <w:r w:rsidRPr="002C135A">
        <w:rPr>
          <w:lang w:val="en-US"/>
        </w:rPr>
        <w:t>2.</w:t>
      </w:r>
      <w:r w:rsidRPr="002C135A">
        <w:rPr>
          <w:lang w:val="en-US"/>
        </w:rPr>
        <w:tab/>
        <w:t>Can you tell me tell me abou</w:t>
      </w:r>
      <w:r>
        <w:rPr>
          <w:lang w:val="en-US"/>
        </w:rPr>
        <w:t>t your ‘journey’ to university?</w:t>
      </w:r>
    </w:p>
    <w:p w:rsidR="002C135A" w:rsidRPr="002C135A" w:rsidRDefault="002C135A" w:rsidP="002C135A">
      <w:pPr>
        <w:pStyle w:val="Bullets"/>
        <w:rPr>
          <w:lang w:val="en-US"/>
        </w:rPr>
      </w:pPr>
      <w:r>
        <w:rPr>
          <w:lang w:val="en-US"/>
        </w:rPr>
        <w:t>Indicative prompts:</w:t>
      </w:r>
    </w:p>
    <w:p w:rsidR="002C135A" w:rsidRPr="002C135A" w:rsidRDefault="002C135A" w:rsidP="002C135A">
      <w:pPr>
        <w:pStyle w:val="Bullets"/>
        <w:numPr>
          <w:ilvl w:val="1"/>
          <w:numId w:val="1"/>
        </w:numPr>
        <w:rPr>
          <w:lang w:val="en-US"/>
        </w:rPr>
      </w:pPr>
      <w:r w:rsidRPr="002C135A">
        <w:rPr>
          <w:lang w:val="en-US"/>
        </w:rPr>
        <w:t>Why did you init</w:t>
      </w:r>
      <w:r>
        <w:rPr>
          <w:lang w:val="en-US"/>
        </w:rPr>
        <w:t>ially want to go to university?</w:t>
      </w:r>
    </w:p>
    <w:p w:rsidR="002C135A" w:rsidRPr="002C135A" w:rsidRDefault="002C135A" w:rsidP="002C135A">
      <w:pPr>
        <w:pStyle w:val="Bullets"/>
        <w:numPr>
          <w:ilvl w:val="2"/>
          <w:numId w:val="1"/>
        </w:numPr>
        <w:rPr>
          <w:lang w:val="en-US"/>
        </w:rPr>
      </w:pPr>
      <w:r w:rsidRPr="002C135A">
        <w:rPr>
          <w:lang w:val="en-US"/>
        </w:rPr>
        <w:t>Can you recall what types of preparations you and your family had to make and when you made those?</w:t>
      </w:r>
    </w:p>
    <w:p w:rsidR="002C135A" w:rsidRPr="002C135A" w:rsidRDefault="002C135A" w:rsidP="002C135A">
      <w:pPr>
        <w:pStyle w:val="Bullets"/>
        <w:numPr>
          <w:ilvl w:val="2"/>
          <w:numId w:val="1"/>
        </w:numPr>
        <w:rPr>
          <w:lang w:val="en-US"/>
        </w:rPr>
      </w:pPr>
      <w:r w:rsidRPr="002C135A">
        <w:rPr>
          <w:lang w:val="en-US"/>
        </w:rPr>
        <w:t>What was your family’s response to your decision to go to university?</w:t>
      </w:r>
    </w:p>
    <w:p w:rsidR="002C135A" w:rsidRPr="002C135A" w:rsidRDefault="002C135A" w:rsidP="002C135A">
      <w:pPr>
        <w:pStyle w:val="Bullets"/>
        <w:numPr>
          <w:ilvl w:val="2"/>
          <w:numId w:val="1"/>
        </w:numPr>
        <w:rPr>
          <w:lang w:val="en-US"/>
        </w:rPr>
      </w:pPr>
      <w:r w:rsidRPr="002C135A">
        <w:rPr>
          <w:lang w:val="en-US"/>
        </w:rPr>
        <w:t>How was the experience of leaving your rural</w:t>
      </w:r>
      <w:r>
        <w:rPr>
          <w:lang w:val="en-US"/>
        </w:rPr>
        <w:t xml:space="preserve"> community to go to university?</w:t>
      </w:r>
    </w:p>
    <w:p w:rsidR="002C135A" w:rsidRPr="002C135A" w:rsidRDefault="002C135A" w:rsidP="002C135A">
      <w:pPr>
        <w:rPr>
          <w:lang w:val="en-US"/>
        </w:rPr>
      </w:pPr>
      <w:r w:rsidRPr="002C135A">
        <w:rPr>
          <w:lang w:val="en-US"/>
        </w:rPr>
        <w:t>3.</w:t>
      </w:r>
      <w:r w:rsidRPr="002C135A">
        <w:rPr>
          <w:lang w:val="en-US"/>
        </w:rPr>
        <w:tab/>
        <w:t>I understand that you’re currently completing [program] and this was your [first/other] choice, when did you decide to pursue study in that area?</w:t>
      </w:r>
    </w:p>
    <w:p w:rsidR="002C135A" w:rsidRPr="002C135A" w:rsidRDefault="002C135A" w:rsidP="002C135A">
      <w:pPr>
        <w:pStyle w:val="Bullets"/>
        <w:rPr>
          <w:lang w:val="en-US"/>
        </w:rPr>
      </w:pPr>
      <w:r w:rsidRPr="002C135A">
        <w:rPr>
          <w:lang w:val="en-US"/>
        </w:rPr>
        <w:t>Had other courses been available and offered, do you think you may have chosen a different program?</w:t>
      </w:r>
    </w:p>
    <w:p w:rsidR="002C135A" w:rsidRPr="002C135A" w:rsidRDefault="002C135A" w:rsidP="002C135A">
      <w:pPr>
        <w:pStyle w:val="Bullets"/>
        <w:rPr>
          <w:lang w:val="en-US"/>
        </w:rPr>
      </w:pPr>
      <w:r w:rsidRPr="00691834">
        <w:rPr>
          <w:i/>
          <w:lang w:val="en-US"/>
        </w:rPr>
        <w:t>If applicable</w:t>
      </w:r>
      <w:r w:rsidRPr="002C135A">
        <w:rPr>
          <w:lang w:val="en-US"/>
        </w:rPr>
        <w:t xml:space="preserve"> – you’ve indicated that your study involves doing placement activities; do you anticipate any challenges associated </w:t>
      </w:r>
      <w:r>
        <w:rPr>
          <w:lang w:val="en-US"/>
        </w:rPr>
        <w:t>with completing this placement?</w:t>
      </w:r>
    </w:p>
    <w:p w:rsidR="002C135A" w:rsidRPr="002C135A" w:rsidRDefault="002C135A" w:rsidP="002C135A">
      <w:pPr>
        <w:rPr>
          <w:lang w:val="en-US"/>
        </w:rPr>
      </w:pPr>
      <w:r w:rsidRPr="002C135A">
        <w:rPr>
          <w:lang w:val="en-US"/>
        </w:rPr>
        <w:t>4.</w:t>
      </w:r>
      <w:r w:rsidRPr="002C135A">
        <w:rPr>
          <w:lang w:val="en-US"/>
        </w:rPr>
        <w:tab/>
        <w:t>Can you think of any particular challenges that you may have had at the university that resulted from you being a regional student?</w:t>
      </w:r>
    </w:p>
    <w:p w:rsidR="002C135A" w:rsidRPr="002C135A" w:rsidRDefault="002C135A" w:rsidP="002C135A">
      <w:pPr>
        <w:pStyle w:val="Bullets"/>
        <w:rPr>
          <w:lang w:val="en-US"/>
        </w:rPr>
      </w:pPr>
      <w:r w:rsidRPr="002C135A">
        <w:rPr>
          <w:lang w:val="en-US"/>
        </w:rPr>
        <w:t>Indicative prompts:</w:t>
      </w:r>
    </w:p>
    <w:p w:rsidR="002C135A" w:rsidRPr="002C135A" w:rsidRDefault="002C135A" w:rsidP="002C135A">
      <w:pPr>
        <w:pStyle w:val="Bullets"/>
        <w:numPr>
          <w:ilvl w:val="1"/>
          <w:numId w:val="1"/>
        </w:numPr>
        <w:rPr>
          <w:lang w:val="en-US"/>
        </w:rPr>
      </w:pPr>
      <w:r w:rsidRPr="002C135A">
        <w:rPr>
          <w:lang w:val="en-US"/>
        </w:rPr>
        <w:t>Engagement in sporting and/or social activities?</w:t>
      </w:r>
    </w:p>
    <w:p w:rsidR="002C135A" w:rsidRPr="002C135A" w:rsidRDefault="002C135A" w:rsidP="002C135A">
      <w:pPr>
        <w:pStyle w:val="Bullets"/>
        <w:numPr>
          <w:ilvl w:val="1"/>
          <w:numId w:val="1"/>
        </w:numPr>
        <w:rPr>
          <w:lang w:val="en-US"/>
        </w:rPr>
      </w:pPr>
      <w:r w:rsidRPr="002C135A">
        <w:rPr>
          <w:lang w:val="en-US"/>
        </w:rPr>
        <w:t>Sense of belonging (are comfortable) in your new environment?</w:t>
      </w:r>
    </w:p>
    <w:p w:rsidR="002C135A" w:rsidRPr="002C135A" w:rsidRDefault="002C135A" w:rsidP="002C135A">
      <w:pPr>
        <w:pStyle w:val="Bullets"/>
        <w:numPr>
          <w:ilvl w:val="1"/>
          <w:numId w:val="1"/>
        </w:numPr>
        <w:rPr>
          <w:lang w:val="en-US"/>
        </w:rPr>
      </w:pPr>
      <w:r>
        <w:rPr>
          <w:lang w:val="en-US"/>
        </w:rPr>
        <w:t>Social support?</w:t>
      </w:r>
    </w:p>
    <w:p w:rsidR="002C135A" w:rsidRPr="002C135A" w:rsidRDefault="002C135A" w:rsidP="002C135A">
      <w:pPr>
        <w:rPr>
          <w:lang w:val="en-US"/>
        </w:rPr>
      </w:pPr>
      <w:r w:rsidRPr="002C135A">
        <w:rPr>
          <w:lang w:val="en-US"/>
        </w:rPr>
        <w:t>5.</w:t>
      </w:r>
      <w:r w:rsidRPr="002C135A">
        <w:rPr>
          <w:lang w:val="en-US"/>
        </w:rPr>
        <w:tab/>
        <w:t>In your responses to the survey you indicated that you were [applicable level] financially stressed and I want to explore that a little further, what factors contribute towards that rating?</w:t>
      </w:r>
    </w:p>
    <w:p w:rsidR="002C135A" w:rsidRPr="002C135A" w:rsidRDefault="002C135A" w:rsidP="002C135A">
      <w:pPr>
        <w:pStyle w:val="Bullets"/>
        <w:rPr>
          <w:lang w:val="en-US"/>
        </w:rPr>
      </w:pPr>
      <w:r>
        <w:rPr>
          <w:lang w:val="en-US"/>
        </w:rPr>
        <w:t>Indicative prompts:</w:t>
      </w:r>
    </w:p>
    <w:p w:rsidR="002C135A" w:rsidRPr="002C135A" w:rsidRDefault="002C135A" w:rsidP="002C135A">
      <w:pPr>
        <w:pStyle w:val="Bullets"/>
        <w:numPr>
          <w:ilvl w:val="1"/>
          <w:numId w:val="1"/>
        </w:numPr>
        <w:rPr>
          <w:lang w:val="en-US"/>
        </w:rPr>
      </w:pPr>
      <w:r w:rsidRPr="002C135A">
        <w:rPr>
          <w:lang w:val="en-US"/>
        </w:rPr>
        <w:t>What are your concerns? What impact does that have on your mental and physical health?</w:t>
      </w:r>
    </w:p>
    <w:p w:rsidR="002C135A" w:rsidRPr="002C135A" w:rsidRDefault="002C135A" w:rsidP="002C135A">
      <w:pPr>
        <w:pStyle w:val="Bullets"/>
        <w:numPr>
          <w:ilvl w:val="1"/>
          <w:numId w:val="1"/>
        </w:numPr>
        <w:rPr>
          <w:lang w:val="en-US"/>
        </w:rPr>
      </w:pPr>
      <w:r w:rsidRPr="002C135A">
        <w:rPr>
          <w:lang w:val="en-US"/>
        </w:rPr>
        <w:t>How do you and your family deal with the financial cost?</w:t>
      </w:r>
    </w:p>
    <w:p w:rsidR="002C135A" w:rsidRPr="002C135A" w:rsidRDefault="002C135A" w:rsidP="002C135A">
      <w:pPr>
        <w:pStyle w:val="Bullets"/>
        <w:numPr>
          <w:ilvl w:val="1"/>
          <w:numId w:val="1"/>
        </w:numPr>
        <w:rPr>
          <w:lang w:val="en-US"/>
        </w:rPr>
      </w:pPr>
      <w:r w:rsidRPr="002C135A">
        <w:rPr>
          <w:lang w:val="en-US"/>
        </w:rPr>
        <w:t>Reference to specific comments and responses within the survey and any apparent incongruities.</w:t>
      </w:r>
    </w:p>
    <w:p w:rsidR="002C135A" w:rsidRPr="002C135A" w:rsidRDefault="002C135A" w:rsidP="002C135A">
      <w:pPr>
        <w:pStyle w:val="Bullets"/>
        <w:numPr>
          <w:ilvl w:val="1"/>
          <w:numId w:val="1"/>
        </w:numPr>
        <w:rPr>
          <w:lang w:val="en-US"/>
        </w:rPr>
      </w:pPr>
      <w:r w:rsidRPr="00691834">
        <w:rPr>
          <w:i/>
          <w:lang w:val="en-US"/>
        </w:rPr>
        <w:t>If applicable</w:t>
      </w:r>
      <w:r w:rsidRPr="002C135A">
        <w:rPr>
          <w:lang w:val="en-US"/>
        </w:rPr>
        <w:t xml:space="preserve"> – you indicated that you receive/don’t receive government income support (e.g. Youth Allowance, ABSTUDY). How has receiving (or not receiving) income support affected your capacity to cope financially?</w:t>
      </w:r>
    </w:p>
    <w:p w:rsidR="002C135A" w:rsidRPr="002C135A" w:rsidRDefault="002C135A" w:rsidP="002C135A">
      <w:pPr>
        <w:rPr>
          <w:lang w:val="en-US"/>
        </w:rPr>
      </w:pPr>
      <w:r w:rsidRPr="002C135A">
        <w:rPr>
          <w:lang w:val="en-US"/>
        </w:rPr>
        <w:t xml:space="preserve"> </w:t>
      </w:r>
    </w:p>
    <w:p w:rsidR="002C135A" w:rsidRPr="002C135A" w:rsidRDefault="002C135A" w:rsidP="002C135A">
      <w:pPr>
        <w:rPr>
          <w:lang w:val="en-US"/>
        </w:rPr>
      </w:pPr>
      <w:r w:rsidRPr="002C135A">
        <w:rPr>
          <w:lang w:val="en-US"/>
        </w:rPr>
        <w:t>6.</w:t>
      </w:r>
      <w:r w:rsidRPr="002C135A">
        <w:rPr>
          <w:lang w:val="en-US"/>
        </w:rPr>
        <w:tab/>
        <w:t>We are interested in understanding how rural students balance work, both paid and unpaid, with study.</w:t>
      </w:r>
    </w:p>
    <w:p w:rsidR="002C135A" w:rsidRPr="002C135A" w:rsidRDefault="002C135A" w:rsidP="002C135A">
      <w:pPr>
        <w:pStyle w:val="Bullets"/>
        <w:rPr>
          <w:lang w:val="en-US"/>
        </w:rPr>
      </w:pPr>
      <w:r w:rsidRPr="00691834">
        <w:rPr>
          <w:i/>
          <w:lang w:val="en-US"/>
        </w:rPr>
        <w:t>If applicable</w:t>
      </w:r>
      <w:r w:rsidRPr="002C135A">
        <w:rPr>
          <w:lang w:val="en-US"/>
        </w:rPr>
        <w:t xml:space="preserve"> – how does (did) your employer respond to your decision to go to university?</w:t>
      </w:r>
    </w:p>
    <w:p w:rsidR="002C135A" w:rsidRPr="002C135A" w:rsidRDefault="002C135A" w:rsidP="002C135A">
      <w:pPr>
        <w:pStyle w:val="Bullets"/>
        <w:rPr>
          <w:lang w:val="en-US"/>
        </w:rPr>
      </w:pPr>
      <w:r w:rsidRPr="002C135A">
        <w:rPr>
          <w:lang w:val="en-US"/>
        </w:rPr>
        <w:t>Did you need to find another job?</w:t>
      </w:r>
    </w:p>
    <w:p w:rsidR="002C135A" w:rsidRPr="002C135A" w:rsidRDefault="002C135A" w:rsidP="002C135A">
      <w:pPr>
        <w:pStyle w:val="Bullets"/>
        <w:rPr>
          <w:lang w:val="en-US"/>
        </w:rPr>
      </w:pPr>
      <w:r w:rsidRPr="002C135A">
        <w:rPr>
          <w:lang w:val="en-US"/>
        </w:rPr>
        <w:t>Does your paid job impact on your study and how?</w:t>
      </w:r>
    </w:p>
    <w:p w:rsidR="002C135A" w:rsidRPr="005507C8" w:rsidRDefault="002C135A" w:rsidP="002C135A">
      <w:pPr>
        <w:pStyle w:val="Bullets"/>
        <w:rPr>
          <w:lang w:val="en-US"/>
        </w:rPr>
      </w:pPr>
      <w:r w:rsidRPr="00691834">
        <w:rPr>
          <w:i/>
          <w:lang w:val="en-US"/>
        </w:rPr>
        <w:t>If applicable</w:t>
      </w:r>
      <w:r w:rsidRPr="002C135A">
        <w:rPr>
          <w:lang w:val="en-US"/>
        </w:rPr>
        <w:t xml:space="preserve"> – you indicated that you also do [unpaid work for family and friends/seasonal work]; are you able to tell me a little bit more about that?</w:t>
      </w:r>
    </w:p>
    <w:p w:rsidR="002C135A" w:rsidRPr="002C135A" w:rsidRDefault="002C135A" w:rsidP="002C135A">
      <w:pPr>
        <w:rPr>
          <w:lang w:val="en-US"/>
        </w:rPr>
      </w:pPr>
      <w:r w:rsidRPr="002C135A">
        <w:rPr>
          <w:lang w:val="en-US"/>
        </w:rPr>
        <w:t>7.</w:t>
      </w:r>
      <w:r w:rsidRPr="002C135A">
        <w:rPr>
          <w:lang w:val="en-US"/>
        </w:rPr>
        <w:tab/>
        <w:t>If you were to offer any advice or implement different support systems for rural university students what would be your advice for:</w:t>
      </w:r>
    </w:p>
    <w:p w:rsidR="002C135A" w:rsidRPr="002C135A" w:rsidRDefault="002C135A" w:rsidP="005507C8">
      <w:pPr>
        <w:pStyle w:val="Bullets"/>
        <w:rPr>
          <w:lang w:val="en-US"/>
        </w:rPr>
      </w:pPr>
      <w:r w:rsidRPr="002C135A">
        <w:rPr>
          <w:lang w:val="en-US"/>
        </w:rPr>
        <w:t>A rural student starting university?</w:t>
      </w:r>
    </w:p>
    <w:p w:rsidR="002C135A" w:rsidRPr="002C135A" w:rsidRDefault="002C135A" w:rsidP="005507C8">
      <w:pPr>
        <w:pStyle w:val="Bullets"/>
        <w:rPr>
          <w:lang w:val="en-US"/>
        </w:rPr>
      </w:pPr>
      <w:r w:rsidRPr="002C135A">
        <w:rPr>
          <w:lang w:val="en-US"/>
        </w:rPr>
        <w:t>Family/parents/carers of a rural student contemplating/starting university?</w:t>
      </w:r>
    </w:p>
    <w:p w:rsidR="002C135A" w:rsidRPr="002C135A" w:rsidRDefault="002C135A" w:rsidP="005507C8">
      <w:pPr>
        <w:pStyle w:val="Bullets"/>
        <w:rPr>
          <w:lang w:val="en-US"/>
        </w:rPr>
      </w:pPr>
      <w:r w:rsidRPr="002C135A">
        <w:rPr>
          <w:lang w:val="en-US"/>
        </w:rPr>
        <w:t>Centrelink or associated government agencies responsible for providing assistance to rural students?</w:t>
      </w:r>
    </w:p>
    <w:p w:rsidR="002C135A" w:rsidRPr="002C135A" w:rsidRDefault="002C135A" w:rsidP="005507C8">
      <w:pPr>
        <w:pStyle w:val="Bullets"/>
        <w:rPr>
          <w:lang w:val="en-US"/>
        </w:rPr>
      </w:pPr>
      <w:r w:rsidRPr="002C135A">
        <w:rPr>
          <w:lang w:val="en-US"/>
        </w:rPr>
        <w:t>University policymakers or academic staff?</w:t>
      </w:r>
    </w:p>
    <w:p w:rsidR="002C135A" w:rsidRPr="005507C8" w:rsidRDefault="002C135A" w:rsidP="002C135A">
      <w:pPr>
        <w:pStyle w:val="Bullets"/>
        <w:rPr>
          <w:lang w:val="en-US"/>
        </w:rPr>
      </w:pPr>
      <w:r w:rsidRPr="002C135A">
        <w:rPr>
          <w:lang w:val="en-US"/>
        </w:rPr>
        <w:t>In hindsight to yourself? Things that you would do differently?</w:t>
      </w:r>
    </w:p>
    <w:p w:rsidR="002C135A" w:rsidRPr="002C135A" w:rsidRDefault="002C135A" w:rsidP="002C135A">
      <w:pPr>
        <w:rPr>
          <w:lang w:val="en-US"/>
        </w:rPr>
      </w:pPr>
      <w:r w:rsidRPr="002C135A">
        <w:rPr>
          <w:lang w:val="en-US"/>
        </w:rPr>
        <w:t>8.</w:t>
      </w:r>
      <w:r w:rsidRPr="002C135A">
        <w:rPr>
          <w:lang w:val="en-US"/>
        </w:rPr>
        <w:tab/>
        <w:t>What are your plans after you have</w:t>
      </w:r>
      <w:r w:rsidR="005507C8">
        <w:rPr>
          <w:lang w:val="en-US"/>
        </w:rPr>
        <w:t xml:space="preserve"> completed your current degree?</w:t>
      </w:r>
    </w:p>
    <w:p w:rsidR="002C135A" w:rsidRPr="002C135A" w:rsidRDefault="002C135A" w:rsidP="005507C8">
      <w:pPr>
        <w:pStyle w:val="Bullets"/>
        <w:rPr>
          <w:lang w:val="en-US"/>
        </w:rPr>
      </w:pPr>
      <w:r w:rsidRPr="002C135A">
        <w:rPr>
          <w:lang w:val="en-US"/>
        </w:rPr>
        <w:t>Do you have any plans to return to a r</w:t>
      </w:r>
      <w:r w:rsidR="005507C8">
        <w:rPr>
          <w:lang w:val="en-US"/>
        </w:rPr>
        <w:t>ural location after university?</w:t>
      </w:r>
    </w:p>
    <w:p w:rsidR="005507C8" w:rsidRDefault="002C135A" w:rsidP="002C135A">
      <w:pPr>
        <w:rPr>
          <w:lang w:val="en-US"/>
        </w:rPr>
      </w:pPr>
      <w:r w:rsidRPr="002C135A">
        <w:rPr>
          <w:lang w:val="en-US"/>
        </w:rPr>
        <w:t>9.</w:t>
      </w:r>
      <w:r w:rsidRPr="002C135A">
        <w:rPr>
          <w:lang w:val="en-US"/>
        </w:rPr>
        <w:tab/>
        <w:t>Is there anything else you would like to add about the financial circumstances of rural students?</w:t>
      </w:r>
    </w:p>
    <w:p w:rsidR="005507C8" w:rsidRDefault="005507C8">
      <w:pPr>
        <w:spacing w:after="0"/>
        <w:rPr>
          <w:lang w:val="en-US"/>
        </w:rPr>
      </w:pPr>
      <w:r>
        <w:rPr>
          <w:lang w:val="en-US"/>
        </w:rPr>
        <w:br w:type="page"/>
      </w:r>
    </w:p>
    <w:p w:rsidR="002C135A" w:rsidRDefault="005507C8" w:rsidP="007A5AE6">
      <w:pPr>
        <w:pStyle w:val="Heading1"/>
        <w:rPr>
          <w:lang w:val="en-US"/>
        </w:rPr>
      </w:pPr>
      <w:bookmarkStart w:id="87" w:name="_Toc517270356"/>
      <w:r>
        <w:rPr>
          <w:lang w:val="en-US"/>
        </w:rPr>
        <w:t>Appendix C</w:t>
      </w:r>
      <w:bookmarkEnd w:id="87"/>
    </w:p>
    <w:p w:rsidR="005507C8" w:rsidRPr="002C135A" w:rsidRDefault="005507C8" w:rsidP="007A5AE6">
      <w:pPr>
        <w:pStyle w:val="Heading2"/>
        <w:rPr>
          <w:lang w:val="en-US"/>
        </w:rPr>
      </w:pPr>
      <w:bookmarkStart w:id="88" w:name="_Toc517270357"/>
      <w:r>
        <w:rPr>
          <w:lang w:val="en-US"/>
        </w:rPr>
        <w:t>Interviewee Demographics</w:t>
      </w:r>
      <w:bookmarkEnd w:id="88"/>
    </w:p>
    <w:tbl>
      <w:tblPr>
        <w:tblStyle w:val="TableGrid"/>
        <w:tblW w:w="0" w:type="auto"/>
        <w:tblCellMar>
          <w:top w:w="45" w:type="dxa"/>
          <w:left w:w="85" w:type="dxa"/>
          <w:bottom w:w="11" w:type="dxa"/>
          <w:right w:w="85" w:type="dxa"/>
        </w:tblCellMar>
        <w:tblLook w:val="04A0" w:firstRow="1" w:lastRow="0" w:firstColumn="1" w:lastColumn="0" w:noHBand="0" w:noVBand="1"/>
        <w:tblCaption w:val="Appendix C"/>
        <w:tblDescription w:val="Table displaying the interviewee demographics, split into: Pseudonym; Gender; Age Group; Rural classification; Field of Study; and Location status."/>
      </w:tblPr>
      <w:tblGrid>
        <w:gridCol w:w="1145"/>
        <w:gridCol w:w="835"/>
        <w:gridCol w:w="1134"/>
        <w:gridCol w:w="1843"/>
        <w:gridCol w:w="2559"/>
        <w:gridCol w:w="1500"/>
      </w:tblGrid>
      <w:tr w:rsidR="00AD70F3" w:rsidTr="00BB6259">
        <w:trPr>
          <w:tblHeader/>
        </w:trPr>
        <w:tc>
          <w:tcPr>
            <w:tcW w:w="1145" w:type="dxa"/>
            <w:shd w:val="clear" w:color="auto" w:fill="5B9BD5" w:themeFill="accent1"/>
          </w:tcPr>
          <w:p w:rsidR="00AD70F3" w:rsidRPr="00BB6259" w:rsidRDefault="00AD70F3" w:rsidP="00BB6259">
            <w:pPr>
              <w:pStyle w:val="TableText"/>
              <w:rPr>
                <w:b/>
                <w:color w:val="FFFFFF" w:themeColor="background1"/>
                <w:lang w:val="en-US"/>
              </w:rPr>
            </w:pPr>
            <w:r w:rsidRPr="00BB6259">
              <w:rPr>
                <w:b/>
                <w:color w:val="FFFFFF" w:themeColor="background1"/>
                <w:lang w:val="en-US"/>
              </w:rPr>
              <w:t>Pseudonym</w:t>
            </w:r>
          </w:p>
        </w:tc>
        <w:tc>
          <w:tcPr>
            <w:tcW w:w="835" w:type="dxa"/>
            <w:shd w:val="clear" w:color="auto" w:fill="5B9BD5" w:themeFill="accent1"/>
          </w:tcPr>
          <w:p w:rsidR="00AD70F3" w:rsidRPr="00BB6259" w:rsidRDefault="00AD70F3" w:rsidP="00BB6259">
            <w:pPr>
              <w:pStyle w:val="TableText"/>
              <w:rPr>
                <w:b/>
                <w:color w:val="FFFFFF" w:themeColor="background1"/>
                <w:lang w:val="en-US"/>
              </w:rPr>
            </w:pPr>
            <w:r w:rsidRPr="00BB6259">
              <w:rPr>
                <w:b/>
                <w:color w:val="FFFFFF" w:themeColor="background1"/>
                <w:lang w:val="en-US"/>
              </w:rPr>
              <w:t>Gender</w:t>
            </w:r>
          </w:p>
        </w:tc>
        <w:tc>
          <w:tcPr>
            <w:tcW w:w="1134" w:type="dxa"/>
            <w:shd w:val="clear" w:color="auto" w:fill="5B9BD5" w:themeFill="accent1"/>
          </w:tcPr>
          <w:p w:rsidR="00AD70F3" w:rsidRPr="00BB6259" w:rsidRDefault="00AD70F3" w:rsidP="00BB6259">
            <w:pPr>
              <w:pStyle w:val="TableText"/>
              <w:rPr>
                <w:b/>
                <w:color w:val="FFFFFF" w:themeColor="background1"/>
                <w:lang w:val="en-US"/>
              </w:rPr>
            </w:pPr>
            <w:r w:rsidRPr="00BB6259">
              <w:rPr>
                <w:b/>
                <w:color w:val="FFFFFF" w:themeColor="background1"/>
                <w:lang w:val="en-US"/>
              </w:rPr>
              <w:t>Age group</w:t>
            </w:r>
          </w:p>
        </w:tc>
        <w:tc>
          <w:tcPr>
            <w:tcW w:w="1843" w:type="dxa"/>
            <w:shd w:val="clear" w:color="auto" w:fill="5B9BD5" w:themeFill="accent1"/>
          </w:tcPr>
          <w:p w:rsidR="00AD70F3" w:rsidRPr="00BB6259" w:rsidRDefault="00AD70F3" w:rsidP="00BB6259">
            <w:pPr>
              <w:pStyle w:val="TableText"/>
              <w:rPr>
                <w:b/>
                <w:color w:val="FFFFFF" w:themeColor="background1"/>
                <w:lang w:val="en-US"/>
              </w:rPr>
            </w:pPr>
            <w:r w:rsidRPr="00BB6259">
              <w:rPr>
                <w:b/>
                <w:color w:val="FFFFFF" w:themeColor="background1"/>
                <w:lang w:val="en-US"/>
              </w:rPr>
              <w:t>Rural classification</w:t>
            </w:r>
          </w:p>
        </w:tc>
        <w:tc>
          <w:tcPr>
            <w:tcW w:w="2559" w:type="dxa"/>
            <w:shd w:val="clear" w:color="auto" w:fill="5B9BD5" w:themeFill="accent1"/>
          </w:tcPr>
          <w:p w:rsidR="00AD70F3" w:rsidRPr="00BB6259" w:rsidRDefault="00AD70F3" w:rsidP="00BB6259">
            <w:pPr>
              <w:pStyle w:val="TableText"/>
              <w:rPr>
                <w:b/>
                <w:color w:val="FFFFFF" w:themeColor="background1"/>
                <w:lang w:val="en-US"/>
              </w:rPr>
            </w:pPr>
            <w:r w:rsidRPr="00BB6259">
              <w:rPr>
                <w:b/>
                <w:color w:val="FFFFFF" w:themeColor="background1"/>
                <w:lang w:val="en-US"/>
              </w:rPr>
              <w:t>Field of study</w:t>
            </w:r>
          </w:p>
        </w:tc>
        <w:tc>
          <w:tcPr>
            <w:tcW w:w="1500" w:type="dxa"/>
            <w:shd w:val="clear" w:color="auto" w:fill="5B9BD5" w:themeFill="accent1"/>
          </w:tcPr>
          <w:p w:rsidR="00AD70F3" w:rsidRPr="00BB6259" w:rsidRDefault="00AD70F3" w:rsidP="00BB6259">
            <w:pPr>
              <w:pStyle w:val="TableText"/>
              <w:rPr>
                <w:b/>
                <w:color w:val="FFFFFF" w:themeColor="background1"/>
                <w:lang w:val="en-US"/>
              </w:rPr>
            </w:pPr>
            <w:r w:rsidRPr="00BB6259">
              <w:rPr>
                <w:b/>
                <w:color w:val="FFFFFF" w:themeColor="background1"/>
                <w:lang w:val="en-US"/>
              </w:rPr>
              <w:t>Location status</w:t>
            </w:r>
          </w:p>
        </w:tc>
      </w:tr>
      <w:tr w:rsidR="00AD70F3" w:rsidTr="00A60619">
        <w:tc>
          <w:tcPr>
            <w:tcW w:w="1145" w:type="dxa"/>
          </w:tcPr>
          <w:p w:rsidR="00AD70F3" w:rsidRDefault="00AD70F3" w:rsidP="00BB6259">
            <w:pPr>
              <w:pStyle w:val="TableText"/>
              <w:rPr>
                <w:lang w:val="en-US"/>
              </w:rPr>
            </w:pPr>
            <w:r>
              <w:rPr>
                <w:lang w:val="en-US"/>
              </w:rPr>
              <w:t>Charlotte</w:t>
            </w:r>
          </w:p>
        </w:tc>
        <w:tc>
          <w:tcPr>
            <w:tcW w:w="835" w:type="dxa"/>
          </w:tcPr>
          <w:p w:rsidR="00AD70F3" w:rsidRDefault="00AD70F3" w:rsidP="00BB6259">
            <w:pPr>
              <w:pStyle w:val="TableText"/>
              <w:rPr>
                <w:lang w:val="en-US"/>
              </w:rPr>
            </w:pPr>
            <w:r>
              <w:rPr>
                <w:lang w:val="en-US"/>
              </w:rPr>
              <w:t>F</w:t>
            </w:r>
          </w:p>
        </w:tc>
        <w:tc>
          <w:tcPr>
            <w:tcW w:w="1134" w:type="dxa"/>
          </w:tcPr>
          <w:p w:rsidR="00AD70F3" w:rsidRDefault="00AD70F3" w:rsidP="00BB6259">
            <w:pPr>
              <w:pStyle w:val="TableText"/>
              <w:rPr>
                <w:lang w:val="en-US"/>
              </w:rPr>
            </w:pPr>
            <w:r>
              <w:rPr>
                <w:lang w:val="en-US"/>
              </w:rPr>
              <w:t>Under 25</w:t>
            </w:r>
          </w:p>
        </w:tc>
        <w:tc>
          <w:tcPr>
            <w:tcW w:w="1843" w:type="dxa"/>
          </w:tcPr>
          <w:p w:rsidR="00AD70F3" w:rsidRDefault="00A60619" w:rsidP="00BB6259">
            <w:pPr>
              <w:pStyle w:val="TableText"/>
              <w:rPr>
                <w:lang w:val="en-US"/>
              </w:rPr>
            </w:pPr>
            <w:r>
              <w:rPr>
                <w:lang w:val="en-US"/>
              </w:rPr>
              <w:t>Outer regional</w:t>
            </w:r>
          </w:p>
        </w:tc>
        <w:tc>
          <w:tcPr>
            <w:tcW w:w="2559" w:type="dxa"/>
          </w:tcPr>
          <w:p w:rsidR="00AD70F3" w:rsidRDefault="00A60619" w:rsidP="00BB6259">
            <w:pPr>
              <w:pStyle w:val="TableText"/>
              <w:rPr>
                <w:lang w:val="en-US"/>
              </w:rPr>
            </w:pPr>
            <w:r>
              <w:rPr>
                <w:lang w:val="en-US"/>
              </w:rPr>
              <w:t>Law and Legal Studies</w:t>
            </w:r>
          </w:p>
        </w:tc>
        <w:tc>
          <w:tcPr>
            <w:tcW w:w="1500" w:type="dxa"/>
          </w:tcPr>
          <w:p w:rsidR="00AD70F3" w:rsidRDefault="00A60619" w:rsidP="00BB6259">
            <w:pPr>
              <w:pStyle w:val="TableText"/>
              <w:rPr>
                <w:lang w:val="en-US"/>
              </w:rPr>
            </w:pPr>
            <w:r>
              <w:rPr>
                <w:lang w:val="en-US"/>
              </w:rPr>
              <w:t>Relocated</w:t>
            </w:r>
          </w:p>
        </w:tc>
      </w:tr>
      <w:tr w:rsidR="00AD70F3" w:rsidTr="00A60619">
        <w:tc>
          <w:tcPr>
            <w:tcW w:w="1145" w:type="dxa"/>
          </w:tcPr>
          <w:p w:rsidR="00AD70F3" w:rsidRDefault="00AD70F3" w:rsidP="00BB6259">
            <w:pPr>
              <w:pStyle w:val="TableText"/>
              <w:rPr>
                <w:lang w:val="en-US"/>
              </w:rPr>
            </w:pPr>
            <w:r>
              <w:rPr>
                <w:lang w:val="en-US"/>
              </w:rPr>
              <w:t>Olivia</w:t>
            </w:r>
          </w:p>
        </w:tc>
        <w:tc>
          <w:tcPr>
            <w:tcW w:w="835" w:type="dxa"/>
          </w:tcPr>
          <w:p w:rsidR="00AD70F3" w:rsidRDefault="00AD70F3" w:rsidP="00BB6259">
            <w:pPr>
              <w:pStyle w:val="TableText"/>
              <w:rPr>
                <w:lang w:val="en-US"/>
              </w:rPr>
            </w:pPr>
            <w:r>
              <w:rPr>
                <w:lang w:val="en-US"/>
              </w:rPr>
              <w:t>F</w:t>
            </w:r>
          </w:p>
        </w:tc>
        <w:tc>
          <w:tcPr>
            <w:tcW w:w="1134" w:type="dxa"/>
          </w:tcPr>
          <w:p w:rsidR="00AD70F3" w:rsidRDefault="00AD70F3" w:rsidP="00BB6259">
            <w:pPr>
              <w:pStyle w:val="TableText"/>
              <w:rPr>
                <w:lang w:val="en-US"/>
              </w:rPr>
            </w:pPr>
            <w:r>
              <w:rPr>
                <w:lang w:val="en-US"/>
              </w:rPr>
              <w:t>Under 25</w:t>
            </w:r>
          </w:p>
        </w:tc>
        <w:tc>
          <w:tcPr>
            <w:tcW w:w="1843" w:type="dxa"/>
          </w:tcPr>
          <w:p w:rsidR="00AD70F3" w:rsidRDefault="00A60619" w:rsidP="00BB6259">
            <w:pPr>
              <w:pStyle w:val="TableText"/>
              <w:rPr>
                <w:lang w:val="en-US"/>
              </w:rPr>
            </w:pPr>
            <w:r>
              <w:rPr>
                <w:lang w:val="en-US"/>
              </w:rPr>
              <w:t>Outer regional</w:t>
            </w:r>
          </w:p>
        </w:tc>
        <w:tc>
          <w:tcPr>
            <w:tcW w:w="2559" w:type="dxa"/>
          </w:tcPr>
          <w:p w:rsidR="00AD70F3" w:rsidRDefault="00A60619" w:rsidP="00BB6259">
            <w:pPr>
              <w:pStyle w:val="TableText"/>
              <w:rPr>
                <w:lang w:val="en-US"/>
              </w:rPr>
            </w:pPr>
            <w:r>
              <w:rPr>
                <w:lang w:val="en-US"/>
              </w:rPr>
              <w:t>Nursing and Midwifery</w:t>
            </w:r>
          </w:p>
        </w:tc>
        <w:tc>
          <w:tcPr>
            <w:tcW w:w="1500" w:type="dxa"/>
          </w:tcPr>
          <w:p w:rsidR="00AD70F3" w:rsidRDefault="00A60619" w:rsidP="00BB6259">
            <w:pPr>
              <w:pStyle w:val="TableText"/>
              <w:rPr>
                <w:lang w:val="en-US"/>
              </w:rPr>
            </w:pPr>
            <w:r>
              <w:rPr>
                <w:lang w:val="en-US"/>
              </w:rPr>
              <w:t>Non-relocated</w:t>
            </w:r>
          </w:p>
        </w:tc>
      </w:tr>
      <w:tr w:rsidR="00AD70F3" w:rsidTr="00A60619">
        <w:tc>
          <w:tcPr>
            <w:tcW w:w="1145" w:type="dxa"/>
          </w:tcPr>
          <w:p w:rsidR="00AD70F3" w:rsidRDefault="00AD70F3" w:rsidP="00BB6259">
            <w:pPr>
              <w:pStyle w:val="TableText"/>
              <w:rPr>
                <w:lang w:val="en-US"/>
              </w:rPr>
            </w:pPr>
            <w:r>
              <w:rPr>
                <w:lang w:val="en-US"/>
              </w:rPr>
              <w:t>Jasmine</w:t>
            </w:r>
          </w:p>
        </w:tc>
        <w:tc>
          <w:tcPr>
            <w:tcW w:w="835" w:type="dxa"/>
          </w:tcPr>
          <w:p w:rsidR="00AD70F3" w:rsidRDefault="00AD70F3" w:rsidP="00BB6259">
            <w:pPr>
              <w:pStyle w:val="TableText"/>
              <w:rPr>
                <w:lang w:val="en-US"/>
              </w:rPr>
            </w:pPr>
            <w:r>
              <w:rPr>
                <w:lang w:val="en-US"/>
              </w:rPr>
              <w:t>F</w:t>
            </w:r>
          </w:p>
        </w:tc>
        <w:tc>
          <w:tcPr>
            <w:tcW w:w="1134" w:type="dxa"/>
          </w:tcPr>
          <w:p w:rsidR="00AD70F3" w:rsidRDefault="00AD70F3" w:rsidP="00BB6259">
            <w:pPr>
              <w:pStyle w:val="TableText"/>
              <w:rPr>
                <w:lang w:val="en-US"/>
              </w:rPr>
            </w:pPr>
            <w:r>
              <w:rPr>
                <w:lang w:val="en-US"/>
              </w:rPr>
              <w:t>Under 25</w:t>
            </w:r>
          </w:p>
        </w:tc>
        <w:tc>
          <w:tcPr>
            <w:tcW w:w="1843" w:type="dxa"/>
          </w:tcPr>
          <w:p w:rsidR="00AD70F3" w:rsidRDefault="00A60619" w:rsidP="00BB6259">
            <w:pPr>
              <w:pStyle w:val="TableText"/>
              <w:rPr>
                <w:lang w:val="en-US"/>
              </w:rPr>
            </w:pPr>
            <w:r>
              <w:rPr>
                <w:lang w:val="en-US"/>
              </w:rPr>
              <w:t>Remote</w:t>
            </w:r>
          </w:p>
        </w:tc>
        <w:tc>
          <w:tcPr>
            <w:tcW w:w="2559" w:type="dxa"/>
          </w:tcPr>
          <w:p w:rsidR="00AD70F3" w:rsidRDefault="00A60619" w:rsidP="00BB6259">
            <w:pPr>
              <w:pStyle w:val="TableText"/>
              <w:rPr>
                <w:lang w:val="en-US"/>
              </w:rPr>
            </w:pPr>
            <w:r>
              <w:rPr>
                <w:lang w:val="en-US"/>
              </w:rPr>
              <w:t>Psychology, Social Work and Human Services</w:t>
            </w:r>
          </w:p>
        </w:tc>
        <w:tc>
          <w:tcPr>
            <w:tcW w:w="1500" w:type="dxa"/>
          </w:tcPr>
          <w:p w:rsidR="00AD70F3" w:rsidRDefault="00A60619" w:rsidP="00BB6259">
            <w:pPr>
              <w:pStyle w:val="TableText"/>
              <w:rPr>
                <w:lang w:val="en-US"/>
              </w:rPr>
            </w:pPr>
            <w:r>
              <w:rPr>
                <w:lang w:val="en-US"/>
              </w:rPr>
              <w:t>Relocated</w:t>
            </w:r>
          </w:p>
        </w:tc>
      </w:tr>
      <w:tr w:rsidR="00A60619" w:rsidTr="00A60619">
        <w:tc>
          <w:tcPr>
            <w:tcW w:w="1145" w:type="dxa"/>
          </w:tcPr>
          <w:p w:rsidR="00A60619" w:rsidRDefault="00A60619" w:rsidP="00BB6259">
            <w:pPr>
              <w:pStyle w:val="TableText"/>
              <w:rPr>
                <w:lang w:val="en-US"/>
              </w:rPr>
            </w:pPr>
            <w:r>
              <w:rPr>
                <w:lang w:val="en-US"/>
              </w:rPr>
              <w:t>Grace</w:t>
            </w:r>
          </w:p>
        </w:tc>
        <w:tc>
          <w:tcPr>
            <w:tcW w:w="835" w:type="dxa"/>
          </w:tcPr>
          <w:p w:rsidR="00A60619" w:rsidRDefault="00A60619" w:rsidP="00BB6259">
            <w:pPr>
              <w:pStyle w:val="TableText"/>
              <w:rPr>
                <w:lang w:val="en-US"/>
              </w:rPr>
            </w:pPr>
            <w:r>
              <w:rPr>
                <w:lang w:val="en-US"/>
              </w:rPr>
              <w:t>F</w:t>
            </w:r>
          </w:p>
        </w:tc>
        <w:tc>
          <w:tcPr>
            <w:tcW w:w="1134" w:type="dxa"/>
          </w:tcPr>
          <w:p w:rsidR="00A60619" w:rsidRDefault="00A60619" w:rsidP="00BB6259">
            <w:pPr>
              <w:pStyle w:val="TableText"/>
              <w:rPr>
                <w:lang w:val="en-US"/>
              </w:rPr>
            </w:pPr>
            <w:r>
              <w:rPr>
                <w:lang w:val="en-US"/>
              </w:rPr>
              <w:t>Under 25</w:t>
            </w:r>
          </w:p>
        </w:tc>
        <w:tc>
          <w:tcPr>
            <w:tcW w:w="1843" w:type="dxa"/>
          </w:tcPr>
          <w:p w:rsidR="00A60619" w:rsidRDefault="00A60619" w:rsidP="00BB6259">
            <w:pPr>
              <w:pStyle w:val="TableText"/>
            </w:pPr>
            <w:r w:rsidRPr="00400A64">
              <w:rPr>
                <w:lang w:val="en-US"/>
              </w:rPr>
              <w:t>Remote</w:t>
            </w:r>
          </w:p>
        </w:tc>
        <w:tc>
          <w:tcPr>
            <w:tcW w:w="2559" w:type="dxa"/>
          </w:tcPr>
          <w:p w:rsidR="00A60619" w:rsidRDefault="00A60619" w:rsidP="00BB6259">
            <w:pPr>
              <w:pStyle w:val="TableText"/>
              <w:rPr>
                <w:lang w:val="en-US"/>
              </w:rPr>
            </w:pPr>
            <w:r>
              <w:rPr>
                <w:lang w:val="en-US"/>
              </w:rPr>
              <w:t>Psychology, Social Work and Human Services</w:t>
            </w:r>
          </w:p>
        </w:tc>
        <w:tc>
          <w:tcPr>
            <w:tcW w:w="1500" w:type="dxa"/>
          </w:tcPr>
          <w:p w:rsidR="00A60619" w:rsidRDefault="00CC7767" w:rsidP="00BB6259">
            <w:pPr>
              <w:pStyle w:val="TableText"/>
              <w:rPr>
                <w:lang w:val="en-US"/>
              </w:rPr>
            </w:pPr>
            <w:r>
              <w:rPr>
                <w:lang w:val="en-US"/>
              </w:rPr>
              <w:t>Relocated</w:t>
            </w:r>
          </w:p>
        </w:tc>
      </w:tr>
      <w:tr w:rsidR="00A60619" w:rsidTr="00A60619">
        <w:tc>
          <w:tcPr>
            <w:tcW w:w="1145" w:type="dxa"/>
          </w:tcPr>
          <w:p w:rsidR="00A60619" w:rsidRDefault="00A60619" w:rsidP="00BB6259">
            <w:pPr>
              <w:pStyle w:val="TableText"/>
              <w:rPr>
                <w:lang w:val="en-US"/>
              </w:rPr>
            </w:pPr>
            <w:r>
              <w:rPr>
                <w:lang w:val="en-US"/>
              </w:rPr>
              <w:t>Sophie</w:t>
            </w:r>
          </w:p>
        </w:tc>
        <w:tc>
          <w:tcPr>
            <w:tcW w:w="835" w:type="dxa"/>
          </w:tcPr>
          <w:p w:rsidR="00A60619" w:rsidRDefault="00A60619" w:rsidP="00BB6259">
            <w:pPr>
              <w:pStyle w:val="TableText"/>
              <w:rPr>
                <w:lang w:val="en-US"/>
              </w:rPr>
            </w:pPr>
            <w:r>
              <w:rPr>
                <w:lang w:val="en-US"/>
              </w:rPr>
              <w:t>F</w:t>
            </w:r>
          </w:p>
        </w:tc>
        <w:tc>
          <w:tcPr>
            <w:tcW w:w="1134" w:type="dxa"/>
          </w:tcPr>
          <w:p w:rsidR="00A60619" w:rsidRDefault="00A60619" w:rsidP="00BB6259">
            <w:pPr>
              <w:pStyle w:val="TableText"/>
            </w:pPr>
            <w:r w:rsidRPr="00D83837">
              <w:rPr>
                <w:lang w:val="en-US"/>
              </w:rPr>
              <w:t>Under 25</w:t>
            </w:r>
          </w:p>
        </w:tc>
        <w:tc>
          <w:tcPr>
            <w:tcW w:w="1843" w:type="dxa"/>
          </w:tcPr>
          <w:p w:rsidR="00A60619" w:rsidRDefault="00A60619" w:rsidP="00BB6259">
            <w:pPr>
              <w:pStyle w:val="TableText"/>
            </w:pPr>
            <w:r w:rsidRPr="00400A64">
              <w:rPr>
                <w:lang w:val="en-US"/>
              </w:rPr>
              <w:t>Remote</w:t>
            </w:r>
          </w:p>
        </w:tc>
        <w:tc>
          <w:tcPr>
            <w:tcW w:w="2559" w:type="dxa"/>
          </w:tcPr>
          <w:p w:rsidR="00A60619" w:rsidRDefault="00A60619" w:rsidP="00BB6259">
            <w:pPr>
              <w:pStyle w:val="TableText"/>
              <w:rPr>
                <w:lang w:val="en-US"/>
              </w:rPr>
            </w:pPr>
            <w:r>
              <w:rPr>
                <w:lang w:val="en-US"/>
              </w:rPr>
              <w:t>Psychology, Social Work and Human Services</w:t>
            </w:r>
          </w:p>
        </w:tc>
        <w:tc>
          <w:tcPr>
            <w:tcW w:w="1500" w:type="dxa"/>
          </w:tcPr>
          <w:p w:rsidR="00A60619" w:rsidRDefault="00CC7767" w:rsidP="00BB6259">
            <w:pPr>
              <w:pStyle w:val="TableText"/>
              <w:rPr>
                <w:lang w:val="en-US"/>
              </w:rPr>
            </w:pPr>
            <w:r>
              <w:rPr>
                <w:lang w:val="en-US"/>
              </w:rPr>
              <w:t>Relocated</w:t>
            </w:r>
          </w:p>
        </w:tc>
      </w:tr>
      <w:tr w:rsidR="00AD70F3" w:rsidTr="00A60619">
        <w:tc>
          <w:tcPr>
            <w:tcW w:w="1145" w:type="dxa"/>
          </w:tcPr>
          <w:p w:rsidR="00AD70F3" w:rsidRDefault="00AD70F3" w:rsidP="00BB6259">
            <w:pPr>
              <w:pStyle w:val="TableText"/>
              <w:rPr>
                <w:lang w:val="en-US"/>
              </w:rPr>
            </w:pPr>
            <w:r>
              <w:rPr>
                <w:lang w:val="en-US"/>
              </w:rPr>
              <w:t>Mia</w:t>
            </w:r>
          </w:p>
        </w:tc>
        <w:tc>
          <w:tcPr>
            <w:tcW w:w="835" w:type="dxa"/>
          </w:tcPr>
          <w:p w:rsidR="00AD70F3" w:rsidRDefault="00AD70F3" w:rsidP="00BB6259">
            <w:pPr>
              <w:pStyle w:val="TableText"/>
              <w:rPr>
                <w:lang w:val="en-US"/>
              </w:rPr>
            </w:pPr>
            <w:r>
              <w:rPr>
                <w:lang w:val="en-US"/>
              </w:rPr>
              <w:t>F</w:t>
            </w:r>
          </w:p>
        </w:tc>
        <w:tc>
          <w:tcPr>
            <w:tcW w:w="1134" w:type="dxa"/>
          </w:tcPr>
          <w:p w:rsidR="00AD70F3" w:rsidRDefault="00AD70F3" w:rsidP="00BB6259">
            <w:pPr>
              <w:pStyle w:val="TableText"/>
            </w:pPr>
            <w:r w:rsidRPr="00D83837">
              <w:rPr>
                <w:lang w:val="en-US"/>
              </w:rPr>
              <w:t>Under 25</w:t>
            </w:r>
          </w:p>
        </w:tc>
        <w:tc>
          <w:tcPr>
            <w:tcW w:w="1843" w:type="dxa"/>
          </w:tcPr>
          <w:p w:rsidR="00AD70F3" w:rsidRDefault="00A60619" w:rsidP="00BB6259">
            <w:pPr>
              <w:pStyle w:val="TableText"/>
              <w:rPr>
                <w:lang w:val="en-US"/>
              </w:rPr>
            </w:pPr>
            <w:r>
              <w:rPr>
                <w:lang w:val="en-US"/>
              </w:rPr>
              <w:t>Inner regional</w:t>
            </w:r>
          </w:p>
        </w:tc>
        <w:tc>
          <w:tcPr>
            <w:tcW w:w="2559" w:type="dxa"/>
          </w:tcPr>
          <w:p w:rsidR="00AD70F3" w:rsidRDefault="00A60619" w:rsidP="00BB6259">
            <w:pPr>
              <w:pStyle w:val="TableText"/>
              <w:rPr>
                <w:lang w:val="en-US"/>
              </w:rPr>
            </w:pPr>
            <w:r>
              <w:rPr>
                <w:lang w:val="en-US"/>
              </w:rPr>
              <w:t>Communication, International Studies and Language</w:t>
            </w:r>
          </w:p>
        </w:tc>
        <w:tc>
          <w:tcPr>
            <w:tcW w:w="1500" w:type="dxa"/>
          </w:tcPr>
          <w:p w:rsidR="00AD70F3" w:rsidRDefault="00CC7767" w:rsidP="00BB6259">
            <w:pPr>
              <w:pStyle w:val="TableText"/>
              <w:rPr>
                <w:lang w:val="en-US"/>
              </w:rPr>
            </w:pPr>
            <w:r>
              <w:rPr>
                <w:lang w:val="en-US"/>
              </w:rPr>
              <w:t>Relocated</w:t>
            </w:r>
          </w:p>
        </w:tc>
      </w:tr>
      <w:tr w:rsidR="00AD70F3" w:rsidTr="00A60619">
        <w:tc>
          <w:tcPr>
            <w:tcW w:w="1145" w:type="dxa"/>
          </w:tcPr>
          <w:p w:rsidR="00AD70F3" w:rsidRDefault="00AD70F3" w:rsidP="00BB6259">
            <w:pPr>
              <w:pStyle w:val="TableText"/>
              <w:rPr>
                <w:lang w:val="en-US"/>
              </w:rPr>
            </w:pPr>
            <w:r>
              <w:rPr>
                <w:lang w:val="en-US"/>
              </w:rPr>
              <w:t>William</w:t>
            </w:r>
          </w:p>
        </w:tc>
        <w:tc>
          <w:tcPr>
            <w:tcW w:w="835" w:type="dxa"/>
          </w:tcPr>
          <w:p w:rsidR="00AD70F3" w:rsidRDefault="00AD70F3" w:rsidP="00BB6259">
            <w:pPr>
              <w:pStyle w:val="TableText"/>
              <w:rPr>
                <w:lang w:val="en-US"/>
              </w:rPr>
            </w:pPr>
            <w:r>
              <w:rPr>
                <w:lang w:val="en-US"/>
              </w:rPr>
              <w:t>M</w:t>
            </w:r>
          </w:p>
        </w:tc>
        <w:tc>
          <w:tcPr>
            <w:tcW w:w="1134" w:type="dxa"/>
          </w:tcPr>
          <w:p w:rsidR="00AD70F3" w:rsidRDefault="00AD70F3" w:rsidP="00BB6259">
            <w:pPr>
              <w:pStyle w:val="TableText"/>
            </w:pPr>
            <w:r w:rsidRPr="00D83837">
              <w:rPr>
                <w:lang w:val="en-US"/>
              </w:rPr>
              <w:t>Under 25</w:t>
            </w:r>
          </w:p>
        </w:tc>
        <w:tc>
          <w:tcPr>
            <w:tcW w:w="1843" w:type="dxa"/>
          </w:tcPr>
          <w:p w:rsidR="00AD70F3" w:rsidRDefault="00A60619" w:rsidP="00BB6259">
            <w:pPr>
              <w:pStyle w:val="TableText"/>
              <w:rPr>
                <w:lang w:val="en-US"/>
              </w:rPr>
            </w:pPr>
            <w:r>
              <w:rPr>
                <w:lang w:val="en-US"/>
              </w:rPr>
              <w:t>Outer regional</w:t>
            </w:r>
          </w:p>
        </w:tc>
        <w:tc>
          <w:tcPr>
            <w:tcW w:w="2559" w:type="dxa"/>
          </w:tcPr>
          <w:p w:rsidR="00AD70F3" w:rsidRDefault="00A60619" w:rsidP="00BB6259">
            <w:pPr>
              <w:pStyle w:val="TableText"/>
              <w:rPr>
                <w:lang w:val="en-US"/>
              </w:rPr>
            </w:pPr>
            <w:r>
              <w:rPr>
                <w:lang w:val="en-US"/>
              </w:rPr>
              <w:t>Education</w:t>
            </w:r>
          </w:p>
        </w:tc>
        <w:tc>
          <w:tcPr>
            <w:tcW w:w="1500" w:type="dxa"/>
          </w:tcPr>
          <w:p w:rsidR="00AD70F3" w:rsidRDefault="00CC7767" w:rsidP="00BB6259">
            <w:pPr>
              <w:pStyle w:val="TableText"/>
              <w:rPr>
                <w:lang w:val="en-US"/>
              </w:rPr>
            </w:pPr>
            <w:r>
              <w:rPr>
                <w:lang w:val="en-US"/>
              </w:rPr>
              <w:t>Non-relocated</w:t>
            </w:r>
          </w:p>
        </w:tc>
      </w:tr>
      <w:tr w:rsidR="00AD70F3" w:rsidTr="00A60619">
        <w:tc>
          <w:tcPr>
            <w:tcW w:w="1145" w:type="dxa"/>
          </w:tcPr>
          <w:p w:rsidR="00AD70F3" w:rsidRDefault="00AD70F3" w:rsidP="00BB6259">
            <w:pPr>
              <w:pStyle w:val="TableText"/>
              <w:rPr>
                <w:lang w:val="en-US"/>
              </w:rPr>
            </w:pPr>
            <w:r>
              <w:rPr>
                <w:lang w:val="en-US"/>
              </w:rPr>
              <w:t>Lily</w:t>
            </w:r>
          </w:p>
        </w:tc>
        <w:tc>
          <w:tcPr>
            <w:tcW w:w="835" w:type="dxa"/>
          </w:tcPr>
          <w:p w:rsidR="00AD70F3" w:rsidRDefault="00AD70F3" w:rsidP="00BB6259">
            <w:pPr>
              <w:pStyle w:val="TableText"/>
              <w:rPr>
                <w:lang w:val="en-US"/>
              </w:rPr>
            </w:pPr>
            <w:r>
              <w:rPr>
                <w:lang w:val="en-US"/>
              </w:rPr>
              <w:t>F</w:t>
            </w:r>
          </w:p>
        </w:tc>
        <w:tc>
          <w:tcPr>
            <w:tcW w:w="1134" w:type="dxa"/>
          </w:tcPr>
          <w:p w:rsidR="00AD70F3" w:rsidRDefault="00AD70F3" w:rsidP="00BB6259">
            <w:pPr>
              <w:pStyle w:val="TableText"/>
            </w:pPr>
            <w:r w:rsidRPr="00D83837">
              <w:rPr>
                <w:lang w:val="en-US"/>
              </w:rPr>
              <w:t>Under 25</w:t>
            </w:r>
          </w:p>
        </w:tc>
        <w:tc>
          <w:tcPr>
            <w:tcW w:w="1843" w:type="dxa"/>
          </w:tcPr>
          <w:p w:rsidR="00AD70F3" w:rsidRDefault="00A60619" w:rsidP="00BB6259">
            <w:pPr>
              <w:pStyle w:val="TableText"/>
              <w:rPr>
                <w:lang w:val="en-US"/>
              </w:rPr>
            </w:pPr>
            <w:r>
              <w:rPr>
                <w:lang w:val="en-US"/>
              </w:rPr>
              <w:t>Outer regional</w:t>
            </w:r>
          </w:p>
        </w:tc>
        <w:tc>
          <w:tcPr>
            <w:tcW w:w="2559" w:type="dxa"/>
          </w:tcPr>
          <w:p w:rsidR="00AD70F3" w:rsidRDefault="00A60619" w:rsidP="00BB6259">
            <w:pPr>
              <w:pStyle w:val="TableText"/>
              <w:rPr>
                <w:lang w:val="en-US"/>
              </w:rPr>
            </w:pPr>
            <w:r>
              <w:rPr>
                <w:lang w:val="en-US"/>
              </w:rPr>
              <w:t>Communication, International Studies and Language</w:t>
            </w:r>
          </w:p>
        </w:tc>
        <w:tc>
          <w:tcPr>
            <w:tcW w:w="1500" w:type="dxa"/>
          </w:tcPr>
          <w:p w:rsidR="00AD70F3" w:rsidRDefault="00CC7767" w:rsidP="00BB6259">
            <w:pPr>
              <w:pStyle w:val="TableText"/>
              <w:rPr>
                <w:lang w:val="en-US"/>
              </w:rPr>
            </w:pPr>
            <w:r>
              <w:rPr>
                <w:lang w:val="en-US"/>
              </w:rPr>
              <w:t>Relocated</w:t>
            </w:r>
          </w:p>
        </w:tc>
      </w:tr>
      <w:tr w:rsidR="00AD70F3" w:rsidTr="00A60619">
        <w:tc>
          <w:tcPr>
            <w:tcW w:w="1145" w:type="dxa"/>
          </w:tcPr>
          <w:p w:rsidR="00AD70F3" w:rsidRDefault="00AD70F3" w:rsidP="00BB6259">
            <w:pPr>
              <w:pStyle w:val="TableText"/>
              <w:rPr>
                <w:lang w:val="en-US"/>
              </w:rPr>
            </w:pPr>
            <w:r>
              <w:rPr>
                <w:lang w:val="en-US"/>
              </w:rPr>
              <w:t>Zoe</w:t>
            </w:r>
          </w:p>
        </w:tc>
        <w:tc>
          <w:tcPr>
            <w:tcW w:w="835" w:type="dxa"/>
          </w:tcPr>
          <w:p w:rsidR="00AD70F3" w:rsidRDefault="00AD70F3" w:rsidP="00BB6259">
            <w:pPr>
              <w:pStyle w:val="TableText"/>
              <w:rPr>
                <w:lang w:val="en-US"/>
              </w:rPr>
            </w:pPr>
            <w:r>
              <w:rPr>
                <w:lang w:val="en-US"/>
              </w:rPr>
              <w:t>F</w:t>
            </w:r>
          </w:p>
        </w:tc>
        <w:tc>
          <w:tcPr>
            <w:tcW w:w="1134" w:type="dxa"/>
          </w:tcPr>
          <w:p w:rsidR="00AD70F3" w:rsidRDefault="00AD70F3" w:rsidP="00BB6259">
            <w:pPr>
              <w:pStyle w:val="TableText"/>
            </w:pPr>
            <w:r w:rsidRPr="00D83837">
              <w:rPr>
                <w:lang w:val="en-US"/>
              </w:rPr>
              <w:t>Under 25</w:t>
            </w:r>
          </w:p>
        </w:tc>
        <w:tc>
          <w:tcPr>
            <w:tcW w:w="1843" w:type="dxa"/>
          </w:tcPr>
          <w:p w:rsidR="00AD70F3" w:rsidRDefault="00AD70F3" w:rsidP="00BB6259">
            <w:pPr>
              <w:pStyle w:val="TableText"/>
              <w:rPr>
                <w:lang w:val="en-US"/>
              </w:rPr>
            </w:pPr>
            <w:r>
              <w:rPr>
                <w:lang w:val="en-US"/>
              </w:rPr>
              <w:t>Remote</w:t>
            </w:r>
          </w:p>
        </w:tc>
        <w:tc>
          <w:tcPr>
            <w:tcW w:w="2559" w:type="dxa"/>
          </w:tcPr>
          <w:p w:rsidR="00AD70F3" w:rsidRDefault="00A60619" w:rsidP="00BB6259">
            <w:pPr>
              <w:pStyle w:val="TableText"/>
              <w:rPr>
                <w:lang w:val="en-US"/>
              </w:rPr>
            </w:pPr>
            <w:r>
              <w:rPr>
                <w:lang w:val="en-US"/>
              </w:rPr>
              <w:t>Media Arts, Digital Design and Marketing</w:t>
            </w:r>
          </w:p>
        </w:tc>
        <w:tc>
          <w:tcPr>
            <w:tcW w:w="1500" w:type="dxa"/>
          </w:tcPr>
          <w:p w:rsidR="00AD70F3" w:rsidRDefault="00CC7767" w:rsidP="00BB6259">
            <w:pPr>
              <w:pStyle w:val="TableText"/>
              <w:rPr>
                <w:lang w:val="en-US"/>
              </w:rPr>
            </w:pPr>
            <w:r>
              <w:rPr>
                <w:lang w:val="en-US"/>
              </w:rPr>
              <w:t>Relocated</w:t>
            </w:r>
          </w:p>
        </w:tc>
      </w:tr>
      <w:tr w:rsidR="00AD70F3" w:rsidTr="00A60619">
        <w:tc>
          <w:tcPr>
            <w:tcW w:w="1145" w:type="dxa"/>
          </w:tcPr>
          <w:p w:rsidR="00AD70F3" w:rsidRDefault="00AD70F3" w:rsidP="00BB6259">
            <w:pPr>
              <w:pStyle w:val="TableText"/>
              <w:rPr>
                <w:lang w:val="en-US"/>
              </w:rPr>
            </w:pPr>
            <w:r>
              <w:rPr>
                <w:lang w:val="en-US"/>
              </w:rPr>
              <w:t>Ruby</w:t>
            </w:r>
          </w:p>
        </w:tc>
        <w:tc>
          <w:tcPr>
            <w:tcW w:w="835" w:type="dxa"/>
          </w:tcPr>
          <w:p w:rsidR="00AD70F3" w:rsidRDefault="00AD70F3" w:rsidP="00BB6259">
            <w:pPr>
              <w:pStyle w:val="TableText"/>
              <w:rPr>
                <w:lang w:val="en-US"/>
              </w:rPr>
            </w:pPr>
            <w:r>
              <w:rPr>
                <w:lang w:val="en-US"/>
              </w:rPr>
              <w:t>F</w:t>
            </w:r>
          </w:p>
        </w:tc>
        <w:tc>
          <w:tcPr>
            <w:tcW w:w="1134" w:type="dxa"/>
          </w:tcPr>
          <w:p w:rsidR="00AD70F3" w:rsidRDefault="00AD70F3" w:rsidP="00BB6259">
            <w:pPr>
              <w:pStyle w:val="TableText"/>
            </w:pPr>
            <w:r w:rsidRPr="00D83837">
              <w:rPr>
                <w:lang w:val="en-US"/>
              </w:rPr>
              <w:t>Under 25</w:t>
            </w:r>
          </w:p>
        </w:tc>
        <w:tc>
          <w:tcPr>
            <w:tcW w:w="1843" w:type="dxa"/>
          </w:tcPr>
          <w:p w:rsidR="00AD70F3" w:rsidRDefault="00AD70F3" w:rsidP="00BB6259">
            <w:pPr>
              <w:pStyle w:val="TableText"/>
              <w:rPr>
                <w:lang w:val="en-US"/>
              </w:rPr>
            </w:pPr>
            <w:r>
              <w:rPr>
                <w:lang w:val="en-US"/>
              </w:rPr>
              <w:t>Outer regional</w:t>
            </w:r>
          </w:p>
        </w:tc>
        <w:tc>
          <w:tcPr>
            <w:tcW w:w="2559" w:type="dxa"/>
          </w:tcPr>
          <w:p w:rsidR="00AD70F3" w:rsidRDefault="00A60619" w:rsidP="00BB6259">
            <w:pPr>
              <w:pStyle w:val="TableText"/>
              <w:rPr>
                <w:lang w:val="en-US"/>
              </w:rPr>
            </w:pPr>
            <w:r>
              <w:rPr>
                <w:lang w:val="en-US"/>
              </w:rPr>
              <w:t>Law and Legal Studies</w:t>
            </w:r>
          </w:p>
        </w:tc>
        <w:tc>
          <w:tcPr>
            <w:tcW w:w="1500" w:type="dxa"/>
          </w:tcPr>
          <w:p w:rsidR="00AD70F3" w:rsidRDefault="00CC7767" w:rsidP="00BB6259">
            <w:pPr>
              <w:pStyle w:val="TableText"/>
              <w:rPr>
                <w:lang w:val="en-US"/>
              </w:rPr>
            </w:pPr>
            <w:r>
              <w:rPr>
                <w:lang w:val="en-US"/>
              </w:rPr>
              <w:t>Relocated</w:t>
            </w:r>
          </w:p>
        </w:tc>
      </w:tr>
      <w:tr w:rsidR="00AD70F3" w:rsidTr="00A60619">
        <w:tc>
          <w:tcPr>
            <w:tcW w:w="1145" w:type="dxa"/>
          </w:tcPr>
          <w:p w:rsidR="00AD70F3" w:rsidRDefault="00AD70F3" w:rsidP="00BB6259">
            <w:pPr>
              <w:pStyle w:val="TableText"/>
              <w:rPr>
                <w:lang w:val="en-US"/>
              </w:rPr>
            </w:pPr>
            <w:r>
              <w:rPr>
                <w:lang w:val="en-US"/>
              </w:rPr>
              <w:t>Isla</w:t>
            </w:r>
          </w:p>
        </w:tc>
        <w:tc>
          <w:tcPr>
            <w:tcW w:w="835" w:type="dxa"/>
          </w:tcPr>
          <w:p w:rsidR="00AD70F3" w:rsidRDefault="00AD70F3" w:rsidP="00BB6259">
            <w:pPr>
              <w:pStyle w:val="TableText"/>
              <w:rPr>
                <w:lang w:val="en-US"/>
              </w:rPr>
            </w:pPr>
            <w:r>
              <w:rPr>
                <w:lang w:val="en-US"/>
              </w:rPr>
              <w:t>F</w:t>
            </w:r>
          </w:p>
        </w:tc>
        <w:tc>
          <w:tcPr>
            <w:tcW w:w="1134" w:type="dxa"/>
          </w:tcPr>
          <w:p w:rsidR="00AD70F3" w:rsidRDefault="00AD70F3" w:rsidP="00BB6259">
            <w:pPr>
              <w:pStyle w:val="TableText"/>
            </w:pPr>
            <w:r w:rsidRPr="00D83837">
              <w:rPr>
                <w:lang w:val="en-US"/>
              </w:rPr>
              <w:t>Under 25</w:t>
            </w:r>
          </w:p>
        </w:tc>
        <w:tc>
          <w:tcPr>
            <w:tcW w:w="1843" w:type="dxa"/>
          </w:tcPr>
          <w:p w:rsidR="00AD70F3" w:rsidRDefault="00A60619" w:rsidP="00BB6259">
            <w:pPr>
              <w:pStyle w:val="TableText"/>
              <w:rPr>
                <w:lang w:val="en-US"/>
              </w:rPr>
            </w:pPr>
            <w:r>
              <w:rPr>
                <w:lang w:val="en-US"/>
              </w:rPr>
              <w:t>Outer regional</w:t>
            </w:r>
          </w:p>
        </w:tc>
        <w:tc>
          <w:tcPr>
            <w:tcW w:w="2559" w:type="dxa"/>
          </w:tcPr>
          <w:p w:rsidR="00AD70F3" w:rsidRDefault="00A60619" w:rsidP="00BB6259">
            <w:pPr>
              <w:pStyle w:val="TableText"/>
              <w:rPr>
                <w:lang w:val="en-US"/>
              </w:rPr>
            </w:pPr>
            <w:r>
              <w:rPr>
                <w:lang w:val="en-US"/>
              </w:rPr>
              <w:t>Psychology, Social Work and Human Services</w:t>
            </w:r>
          </w:p>
        </w:tc>
        <w:tc>
          <w:tcPr>
            <w:tcW w:w="1500" w:type="dxa"/>
          </w:tcPr>
          <w:p w:rsidR="00AD70F3" w:rsidRDefault="00CC7767" w:rsidP="00BB6259">
            <w:pPr>
              <w:pStyle w:val="TableText"/>
              <w:rPr>
                <w:lang w:val="en-US"/>
              </w:rPr>
            </w:pPr>
            <w:r>
              <w:rPr>
                <w:lang w:val="en-US"/>
              </w:rPr>
              <w:t>Relocated</w:t>
            </w:r>
          </w:p>
        </w:tc>
      </w:tr>
      <w:tr w:rsidR="00AD70F3" w:rsidTr="00A60619">
        <w:tc>
          <w:tcPr>
            <w:tcW w:w="1145" w:type="dxa"/>
          </w:tcPr>
          <w:p w:rsidR="00AD70F3" w:rsidRDefault="00AD70F3" w:rsidP="00BB6259">
            <w:pPr>
              <w:pStyle w:val="TableText"/>
              <w:rPr>
                <w:lang w:val="en-US"/>
              </w:rPr>
            </w:pPr>
            <w:r>
              <w:rPr>
                <w:lang w:val="en-US"/>
              </w:rPr>
              <w:t>Harper</w:t>
            </w:r>
          </w:p>
        </w:tc>
        <w:tc>
          <w:tcPr>
            <w:tcW w:w="835" w:type="dxa"/>
          </w:tcPr>
          <w:p w:rsidR="00AD70F3" w:rsidRDefault="00AD70F3" w:rsidP="00BB6259">
            <w:pPr>
              <w:pStyle w:val="TableText"/>
              <w:rPr>
                <w:lang w:val="en-US"/>
              </w:rPr>
            </w:pPr>
            <w:r>
              <w:rPr>
                <w:lang w:val="en-US"/>
              </w:rPr>
              <w:t>F</w:t>
            </w:r>
          </w:p>
        </w:tc>
        <w:tc>
          <w:tcPr>
            <w:tcW w:w="1134" w:type="dxa"/>
          </w:tcPr>
          <w:p w:rsidR="00AD70F3" w:rsidRDefault="00AD70F3" w:rsidP="00BB6259">
            <w:pPr>
              <w:pStyle w:val="TableText"/>
            </w:pPr>
            <w:r w:rsidRPr="00D83837">
              <w:rPr>
                <w:lang w:val="en-US"/>
              </w:rPr>
              <w:t>Under 25</w:t>
            </w:r>
          </w:p>
        </w:tc>
        <w:tc>
          <w:tcPr>
            <w:tcW w:w="1843" w:type="dxa"/>
          </w:tcPr>
          <w:p w:rsidR="00AD70F3" w:rsidRDefault="00A60619" w:rsidP="00BB6259">
            <w:pPr>
              <w:pStyle w:val="TableText"/>
              <w:rPr>
                <w:lang w:val="en-US"/>
              </w:rPr>
            </w:pPr>
            <w:r>
              <w:rPr>
                <w:lang w:val="en-US"/>
              </w:rPr>
              <w:t>Inner regional</w:t>
            </w:r>
          </w:p>
        </w:tc>
        <w:tc>
          <w:tcPr>
            <w:tcW w:w="2559" w:type="dxa"/>
          </w:tcPr>
          <w:p w:rsidR="00AD70F3" w:rsidRDefault="00A60619" w:rsidP="00BB6259">
            <w:pPr>
              <w:pStyle w:val="TableText"/>
              <w:rPr>
                <w:lang w:val="en-US"/>
              </w:rPr>
            </w:pPr>
            <w:r>
              <w:rPr>
                <w:lang w:val="en-US"/>
              </w:rPr>
              <w:t>Communication, International Studies and Language</w:t>
            </w:r>
          </w:p>
        </w:tc>
        <w:tc>
          <w:tcPr>
            <w:tcW w:w="1500" w:type="dxa"/>
          </w:tcPr>
          <w:p w:rsidR="00AD70F3" w:rsidRDefault="00CC7767" w:rsidP="00BB6259">
            <w:pPr>
              <w:pStyle w:val="TableText"/>
              <w:rPr>
                <w:lang w:val="en-US"/>
              </w:rPr>
            </w:pPr>
            <w:r>
              <w:rPr>
                <w:lang w:val="en-US"/>
              </w:rPr>
              <w:t>Relocated</w:t>
            </w:r>
          </w:p>
        </w:tc>
      </w:tr>
      <w:tr w:rsidR="00AD70F3" w:rsidTr="00A60619">
        <w:tc>
          <w:tcPr>
            <w:tcW w:w="1145" w:type="dxa"/>
          </w:tcPr>
          <w:p w:rsidR="00AD70F3" w:rsidRDefault="00AD70F3" w:rsidP="00BB6259">
            <w:pPr>
              <w:pStyle w:val="TableText"/>
              <w:rPr>
                <w:lang w:val="en-US"/>
              </w:rPr>
            </w:pPr>
            <w:r>
              <w:rPr>
                <w:lang w:val="en-US"/>
              </w:rPr>
              <w:t>Isabella</w:t>
            </w:r>
          </w:p>
        </w:tc>
        <w:tc>
          <w:tcPr>
            <w:tcW w:w="835" w:type="dxa"/>
          </w:tcPr>
          <w:p w:rsidR="00AD70F3" w:rsidRDefault="00AD70F3" w:rsidP="00BB6259">
            <w:pPr>
              <w:pStyle w:val="TableText"/>
              <w:rPr>
                <w:lang w:val="en-US"/>
              </w:rPr>
            </w:pPr>
            <w:r>
              <w:rPr>
                <w:lang w:val="en-US"/>
              </w:rPr>
              <w:t>F</w:t>
            </w:r>
          </w:p>
        </w:tc>
        <w:tc>
          <w:tcPr>
            <w:tcW w:w="1134" w:type="dxa"/>
          </w:tcPr>
          <w:p w:rsidR="00AD70F3" w:rsidRDefault="00AD70F3" w:rsidP="00BB6259">
            <w:pPr>
              <w:pStyle w:val="TableText"/>
              <w:rPr>
                <w:lang w:val="en-US"/>
              </w:rPr>
            </w:pPr>
            <w:r>
              <w:rPr>
                <w:lang w:val="en-US"/>
              </w:rPr>
              <w:t>25 &amp; over</w:t>
            </w:r>
          </w:p>
        </w:tc>
        <w:tc>
          <w:tcPr>
            <w:tcW w:w="1843" w:type="dxa"/>
          </w:tcPr>
          <w:p w:rsidR="00AD70F3" w:rsidRDefault="00A60619" w:rsidP="00BB6259">
            <w:pPr>
              <w:pStyle w:val="TableText"/>
              <w:rPr>
                <w:lang w:val="en-US"/>
              </w:rPr>
            </w:pPr>
            <w:r>
              <w:rPr>
                <w:lang w:val="en-US"/>
              </w:rPr>
              <w:t>Outer regional</w:t>
            </w:r>
          </w:p>
        </w:tc>
        <w:tc>
          <w:tcPr>
            <w:tcW w:w="2559" w:type="dxa"/>
          </w:tcPr>
          <w:p w:rsidR="00AD70F3" w:rsidRDefault="00A60619" w:rsidP="00BB6259">
            <w:pPr>
              <w:pStyle w:val="TableText"/>
              <w:rPr>
                <w:lang w:val="en-US"/>
              </w:rPr>
            </w:pPr>
            <w:r>
              <w:rPr>
                <w:lang w:val="en-US"/>
              </w:rPr>
              <w:t>Psychology, Social Work and Human Services</w:t>
            </w:r>
          </w:p>
        </w:tc>
        <w:tc>
          <w:tcPr>
            <w:tcW w:w="1500" w:type="dxa"/>
          </w:tcPr>
          <w:p w:rsidR="00AD70F3" w:rsidRDefault="00CC7767" w:rsidP="00BB6259">
            <w:pPr>
              <w:pStyle w:val="TableText"/>
              <w:rPr>
                <w:lang w:val="en-US"/>
              </w:rPr>
            </w:pPr>
            <w:r>
              <w:rPr>
                <w:lang w:val="en-US"/>
              </w:rPr>
              <w:t>Relocated</w:t>
            </w:r>
          </w:p>
        </w:tc>
      </w:tr>
      <w:tr w:rsidR="00AD70F3" w:rsidTr="00A60619">
        <w:tc>
          <w:tcPr>
            <w:tcW w:w="1145" w:type="dxa"/>
          </w:tcPr>
          <w:p w:rsidR="00AD70F3" w:rsidRDefault="00AD70F3" w:rsidP="00BB6259">
            <w:pPr>
              <w:pStyle w:val="TableText"/>
              <w:rPr>
                <w:lang w:val="en-US"/>
              </w:rPr>
            </w:pPr>
            <w:r>
              <w:rPr>
                <w:lang w:val="en-US"/>
              </w:rPr>
              <w:t>Violet</w:t>
            </w:r>
          </w:p>
        </w:tc>
        <w:tc>
          <w:tcPr>
            <w:tcW w:w="835" w:type="dxa"/>
          </w:tcPr>
          <w:p w:rsidR="00AD70F3" w:rsidRDefault="00AD70F3" w:rsidP="00BB6259">
            <w:pPr>
              <w:pStyle w:val="TableText"/>
              <w:rPr>
                <w:lang w:val="en-US"/>
              </w:rPr>
            </w:pPr>
            <w:r>
              <w:rPr>
                <w:lang w:val="en-US"/>
              </w:rPr>
              <w:t>F</w:t>
            </w:r>
          </w:p>
        </w:tc>
        <w:tc>
          <w:tcPr>
            <w:tcW w:w="1134" w:type="dxa"/>
          </w:tcPr>
          <w:p w:rsidR="00AD70F3" w:rsidRDefault="00AD70F3" w:rsidP="00BB6259">
            <w:pPr>
              <w:pStyle w:val="TableText"/>
            </w:pPr>
            <w:r w:rsidRPr="00D60368">
              <w:rPr>
                <w:lang w:val="en-US"/>
              </w:rPr>
              <w:t>25 &amp; over</w:t>
            </w:r>
          </w:p>
        </w:tc>
        <w:tc>
          <w:tcPr>
            <w:tcW w:w="1843" w:type="dxa"/>
          </w:tcPr>
          <w:p w:rsidR="00AD70F3" w:rsidRDefault="00A60619" w:rsidP="00BB6259">
            <w:pPr>
              <w:pStyle w:val="TableText"/>
              <w:rPr>
                <w:lang w:val="en-US"/>
              </w:rPr>
            </w:pPr>
            <w:r>
              <w:rPr>
                <w:lang w:val="en-US"/>
              </w:rPr>
              <w:t>Outer regional</w:t>
            </w:r>
          </w:p>
        </w:tc>
        <w:tc>
          <w:tcPr>
            <w:tcW w:w="2559" w:type="dxa"/>
          </w:tcPr>
          <w:p w:rsidR="00AD70F3" w:rsidRDefault="00A60619" w:rsidP="00BB6259">
            <w:pPr>
              <w:pStyle w:val="TableText"/>
              <w:rPr>
                <w:lang w:val="en-US"/>
              </w:rPr>
            </w:pPr>
            <w:r>
              <w:rPr>
                <w:lang w:val="en-US"/>
              </w:rPr>
              <w:t>Nursing and Midwifery</w:t>
            </w:r>
          </w:p>
        </w:tc>
        <w:tc>
          <w:tcPr>
            <w:tcW w:w="1500" w:type="dxa"/>
          </w:tcPr>
          <w:p w:rsidR="00AD70F3" w:rsidRDefault="00CC7767" w:rsidP="00BB6259">
            <w:pPr>
              <w:pStyle w:val="TableText"/>
              <w:rPr>
                <w:lang w:val="en-US"/>
              </w:rPr>
            </w:pPr>
            <w:r>
              <w:rPr>
                <w:lang w:val="en-US"/>
              </w:rPr>
              <w:t>Non-relocated</w:t>
            </w:r>
          </w:p>
        </w:tc>
      </w:tr>
      <w:tr w:rsidR="00AD70F3" w:rsidTr="00A60619">
        <w:tc>
          <w:tcPr>
            <w:tcW w:w="1145" w:type="dxa"/>
          </w:tcPr>
          <w:p w:rsidR="00AD70F3" w:rsidRDefault="00AD70F3" w:rsidP="00BB6259">
            <w:pPr>
              <w:pStyle w:val="TableText"/>
              <w:rPr>
                <w:lang w:val="en-US"/>
              </w:rPr>
            </w:pPr>
            <w:r>
              <w:rPr>
                <w:lang w:val="en-US"/>
              </w:rPr>
              <w:t>Willow</w:t>
            </w:r>
          </w:p>
        </w:tc>
        <w:tc>
          <w:tcPr>
            <w:tcW w:w="835" w:type="dxa"/>
          </w:tcPr>
          <w:p w:rsidR="00AD70F3" w:rsidRDefault="00AD70F3" w:rsidP="00BB6259">
            <w:pPr>
              <w:pStyle w:val="TableText"/>
              <w:rPr>
                <w:lang w:val="en-US"/>
              </w:rPr>
            </w:pPr>
            <w:r>
              <w:rPr>
                <w:lang w:val="en-US"/>
              </w:rPr>
              <w:t>F</w:t>
            </w:r>
          </w:p>
        </w:tc>
        <w:tc>
          <w:tcPr>
            <w:tcW w:w="1134" w:type="dxa"/>
          </w:tcPr>
          <w:p w:rsidR="00AD70F3" w:rsidRDefault="00AD70F3" w:rsidP="00BB6259">
            <w:pPr>
              <w:pStyle w:val="TableText"/>
            </w:pPr>
            <w:r w:rsidRPr="00D60368">
              <w:rPr>
                <w:lang w:val="en-US"/>
              </w:rPr>
              <w:t>25 &amp; over</w:t>
            </w:r>
          </w:p>
        </w:tc>
        <w:tc>
          <w:tcPr>
            <w:tcW w:w="1843" w:type="dxa"/>
          </w:tcPr>
          <w:p w:rsidR="00A60619" w:rsidRDefault="00A60619" w:rsidP="00BB6259">
            <w:pPr>
              <w:pStyle w:val="TableText"/>
              <w:rPr>
                <w:lang w:val="en-US"/>
              </w:rPr>
            </w:pPr>
            <w:r>
              <w:rPr>
                <w:lang w:val="en-US"/>
              </w:rPr>
              <w:t>Remote</w:t>
            </w:r>
          </w:p>
        </w:tc>
        <w:tc>
          <w:tcPr>
            <w:tcW w:w="2559" w:type="dxa"/>
          </w:tcPr>
          <w:p w:rsidR="00AD70F3" w:rsidRDefault="00A60619" w:rsidP="00BB6259">
            <w:pPr>
              <w:pStyle w:val="TableText"/>
              <w:rPr>
                <w:lang w:val="en-US"/>
              </w:rPr>
            </w:pPr>
            <w:r>
              <w:rPr>
                <w:lang w:val="en-US"/>
              </w:rPr>
              <w:t>Psychology, Social Work and Human Services</w:t>
            </w:r>
          </w:p>
        </w:tc>
        <w:tc>
          <w:tcPr>
            <w:tcW w:w="1500" w:type="dxa"/>
          </w:tcPr>
          <w:p w:rsidR="00AD70F3" w:rsidRDefault="00CC7767" w:rsidP="00BB6259">
            <w:pPr>
              <w:pStyle w:val="TableText"/>
              <w:rPr>
                <w:lang w:val="en-US"/>
              </w:rPr>
            </w:pPr>
            <w:r>
              <w:rPr>
                <w:lang w:val="en-US"/>
              </w:rPr>
              <w:t>Relocated</w:t>
            </w:r>
          </w:p>
        </w:tc>
      </w:tr>
      <w:tr w:rsidR="00A60619" w:rsidTr="00A60619">
        <w:tc>
          <w:tcPr>
            <w:tcW w:w="1145" w:type="dxa"/>
          </w:tcPr>
          <w:p w:rsidR="00A60619" w:rsidRDefault="00A60619" w:rsidP="00BB6259">
            <w:pPr>
              <w:pStyle w:val="TableText"/>
              <w:rPr>
                <w:lang w:val="en-US"/>
              </w:rPr>
            </w:pPr>
            <w:r>
              <w:rPr>
                <w:lang w:val="en-US"/>
              </w:rPr>
              <w:t>Ella</w:t>
            </w:r>
          </w:p>
        </w:tc>
        <w:tc>
          <w:tcPr>
            <w:tcW w:w="835" w:type="dxa"/>
          </w:tcPr>
          <w:p w:rsidR="00A60619" w:rsidRDefault="00A60619" w:rsidP="00BB6259">
            <w:pPr>
              <w:pStyle w:val="TableText"/>
              <w:rPr>
                <w:lang w:val="en-US"/>
              </w:rPr>
            </w:pPr>
            <w:r>
              <w:rPr>
                <w:lang w:val="en-US"/>
              </w:rPr>
              <w:t>F</w:t>
            </w:r>
          </w:p>
        </w:tc>
        <w:tc>
          <w:tcPr>
            <w:tcW w:w="1134" w:type="dxa"/>
          </w:tcPr>
          <w:p w:rsidR="00A60619" w:rsidRDefault="00A60619" w:rsidP="00BB6259">
            <w:pPr>
              <w:pStyle w:val="TableText"/>
            </w:pPr>
            <w:r w:rsidRPr="00D60368">
              <w:rPr>
                <w:lang w:val="en-US"/>
              </w:rPr>
              <w:t>25 &amp; over</w:t>
            </w:r>
          </w:p>
        </w:tc>
        <w:tc>
          <w:tcPr>
            <w:tcW w:w="1843" w:type="dxa"/>
          </w:tcPr>
          <w:p w:rsidR="00A60619" w:rsidRDefault="00A60619" w:rsidP="00BB6259">
            <w:pPr>
              <w:pStyle w:val="TableText"/>
              <w:rPr>
                <w:lang w:val="en-US"/>
              </w:rPr>
            </w:pPr>
            <w:r>
              <w:rPr>
                <w:lang w:val="en-US"/>
              </w:rPr>
              <w:t>Outer regional</w:t>
            </w:r>
          </w:p>
        </w:tc>
        <w:tc>
          <w:tcPr>
            <w:tcW w:w="2559" w:type="dxa"/>
          </w:tcPr>
          <w:p w:rsidR="00A60619" w:rsidRDefault="00A60619" w:rsidP="00BB6259">
            <w:pPr>
              <w:pStyle w:val="TableText"/>
              <w:rPr>
                <w:lang w:val="en-US"/>
              </w:rPr>
            </w:pPr>
            <w:r>
              <w:rPr>
                <w:lang w:val="en-US"/>
              </w:rPr>
              <w:t>Accounting, Finance and Economics</w:t>
            </w:r>
          </w:p>
        </w:tc>
        <w:tc>
          <w:tcPr>
            <w:tcW w:w="1500" w:type="dxa"/>
          </w:tcPr>
          <w:p w:rsidR="00A60619" w:rsidRDefault="00CC7767" w:rsidP="00BB6259">
            <w:pPr>
              <w:pStyle w:val="TableText"/>
              <w:rPr>
                <w:lang w:val="en-US"/>
              </w:rPr>
            </w:pPr>
            <w:r>
              <w:rPr>
                <w:lang w:val="en-US"/>
              </w:rPr>
              <w:t>Non-relocated</w:t>
            </w:r>
          </w:p>
        </w:tc>
      </w:tr>
      <w:tr w:rsidR="00A60619" w:rsidTr="00A60619">
        <w:tc>
          <w:tcPr>
            <w:tcW w:w="1145" w:type="dxa"/>
          </w:tcPr>
          <w:p w:rsidR="00A60619" w:rsidRDefault="00A60619" w:rsidP="00BB6259">
            <w:pPr>
              <w:pStyle w:val="TableText"/>
              <w:rPr>
                <w:lang w:val="en-US"/>
              </w:rPr>
            </w:pPr>
            <w:r>
              <w:rPr>
                <w:lang w:val="en-US"/>
              </w:rPr>
              <w:t>Anna</w:t>
            </w:r>
          </w:p>
        </w:tc>
        <w:tc>
          <w:tcPr>
            <w:tcW w:w="835" w:type="dxa"/>
          </w:tcPr>
          <w:p w:rsidR="00A60619" w:rsidRDefault="00A60619" w:rsidP="00BB6259">
            <w:pPr>
              <w:pStyle w:val="TableText"/>
              <w:rPr>
                <w:lang w:val="en-US"/>
              </w:rPr>
            </w:pPr>
            <w:r>
              <w:rPr>
                <w:lang w:val="en-US"/>
              </w:rPr>
              <w:t>F</w:t>
            </w:r>
          </w:p>
        </w:tc>
        <w:tc>
          <w:tcPr>
            <w:tcW w:w="1134" w:type="dxa"/>
          </w:tcPr>
          <w:p w:rsidR="00A60619" w:rsidRDefault="00A60619" w:rsidP="00BB6259">
            <w:pPr>
              <w:pStyle w:val="TableText"/>
            </w:pPr>
            <w:r w:rsidRPr="00D60368">
              <w:rPr>
                <w:lang w:val="en-US"/>
              </w:rPr>
              <w:t>25 &amp; over</w:t>
            </w:r>
          </w:p>
        </w:tc>
        <w:tc>
          <w:tcPr>
            <w:tcW w:w="1843" w:type="dxa"/>
          </w:tcPr>
          <w:p w:rsidR="00A60619" w:rsidRDefault="00A60619" w:rsidP="00BB6259">
            <w:pPr>
              <w:pStyle w:val="TableText"/>
              <w:rPr>
                <w:lang w:val="en-US"/>
              </w:rPr>
            </w:pPr>
            <w:r>
              <w:rPr>
                <w:lang w:val="en-US"/>
              </w:rPr>
              <w:t>Outer regional</w:t>
            </w:r>
          </w:p>
        </w:tc>
        <w:tc>
          <w:tcPr>
            <w:tcW w:w="2559" w:type="dxa"/>
          </w:tcPr>
          <w:p w:rsidR="00A60619" w:rsidRDefault="00A60619" w:rsidP="00BB6259">
            <w:pPr>
              <w:pStyle w:val="TableText"/>
              <w:rPr>
                <w:lang w:val="en-US"/>
              </w:rPr>
            </w:pPr>
            <w:r>
              <w:rPr>
                <w:lang w:val="en-US"/>
              </w:rPr>
              <w:t>Psychology, Social Work and Human Services</w:t>
            </w:r>
          </w:p>
        </w:tc>
        <w:tc>
          <w:tcPr>
            <w:tcW w:w="1500" w:type="dxa"/>
          </w:tcPr>
          <w:p w:rsidR="00A60619" w:rsidRDefault="00CC7767" w:rsidP="00BB6259">
            <w:pPr>
              <w:pStyle w:val="TableText"/>
              <w:rPr>
                <w:lang w:val="en-US"/>
              </w:rPr>
            </w:pPr>
            <w:r>
              <w:rPr>
                <w:lang w:val="en-US"/>
              </w:rPr>
              <w:t>Non-relocated</w:t>
            </w:r>
          </w:p>
        </w:tc>
      </w:tr>
      <w:tr w:rsidR="00A60619" w:rsidTr="00A60619">
        <w:tc>
          <w:tcPr>
            <w:tcW w:w="1145" w:type="dxa"/>
          </w:tcPr>
          <w:p w:rsidR="00A60619" w:rsidRDefault="00A60619" w:rsidP="00BB6259">
            <w:pPr>
              <w:pStyle w:val="TableText"/>
              <w:rPr>
                <w:lang w:val="en-US"/>
              </w:rPr>
            </w:pPr>
            <w:r>
              <w:rPr>
                <w:lang w:val="en-US"/>
              </w:rPr>
              <w:t>Sam</w:t>
            </w:r>
          </w:p>
        </w:tc>
        <w:tc>
          <w:tcPr>
            <w:tcW w:w="835" w:type="dxa"/>
          </w:tcPr>
          <w:p w:rsidR="00A60619" w:rsidRDefault="00A60619" w:rsidP="00BB6259">
            <w:pPr>
              <w:pStyle w:val="TableText"/>
              <w:rPr>
                <w:lang w:val="en-US"/>
              </w:rPr>
            </w:pPr>
            <w:r>
              <w:rPr>
                <w:lang w:val="en-US"/>
              </w:rPr>
              <w:t>M</w:t>
            </w:r>
          </w:p>
        </w:tc>
        <w:tc>
          <w:tcPr>
            <w:tcW w:w="1134" w:type="dxa"/>
          </w:tcPr>
          <w:p w:rsidR="00A60619" w:rsidRDefault="00A60619" w:rsidP="00BB6259">
            <w:pPr>
              <w:pStyle w:val="TableText"/>
            </w:pPr>
            <w:r w:rsidRPr="00D60368">
              <w:rPr>
                <w:lang w:val="en-US"/>
              </w:rPr>
              <w:t>25 &amp; over</w:t>
            </w:r>
          </w:p>
        </w:tc>
        <w:tc>
          <w:tcPr>
            <w:tcW w:w="1843" w:type="dxa"/>
          </w:tcPr>
          <w:p w:rsidR="00A60619" w:rsidRDefault="00A60619" w:rsidP="00BB6259">
            <w:pPr>
              <w:pStyle w:val="TableText"/>
              <w:rPr>
                <w:lang w:val="en-US"/>
              </w:rPr>
            </w:pPr>
            <w:r>
              <w:rPr>
                <w:lang w:val="en-US"/>
              </w:rPr>
              <w:t>Outer regional</w:t>
            </w:r>
          </w:p>
        </w:tc>
        <w:tc>
          <w:tcPr>
            <w:tcW w:w="2559" w:type="dxa"/>
          </w:tcPr>
          <w:p w:rsidR="00A60619" w:rsidRDefault="00A60619" w:rsidP="00BB6259">
            <w:pPr>
              <w:pStyle w:val="TableText"/>
              <w:rPr>
                <w:lang w:val="en-US"/>
              </w:rPr>
            </w:pPr>
            <w:r>
              <w:rPr>
                <w:lang w:val="en-US"/>
              </w:rPr>
              <w:t>Education</w:t>
            </w:r>
          </w:p>
        </w:tc>
        <w:tc>
          <w:tcPr>
            <w:tcW w:w="1500" w:type="dxa"/>
          </w:tcPr>
          <w:p w:rsidR="00A60619" w:rsidRDefault="00CC7767" w:rsidP="00BB6259">
            <w:pPr>
              <w:pStyle w:val="TableText"/>
              <w:rPr>
                <w:lang w:val="en-US"/>
              </w:rPr>
            </w:pPr>
            <w:r>
              <w:rPr>
                <w:lang w:val="en-US"/>
              </w:rPr>
              <w:t>Relocated</w:t>
            </w:r>
          </w:p>
        </w:tc>
      </w:tr>
      <w:tr w:rsidR="00A60619" w:rsidTr="00A60619">
        <w:tc>
          <w:tcPr>
            <w:tcW w:w="1145" w:type="dxa"/>
          </w:tcPr>
          <w:p w:rsidR="00A60619" w:rsidRDefault="00A60619" w:rsidP="00BB6259">
            <w:pPr>
              <w:pStyle w:val="TableText"/>
              <w:rPr>
                <w:lang w:val="en-US"/>
              </w:rPr>
            </w:pPr>
            <w:r>
              <w:rPr>
                <w:lang w:val="en-US"/>
              </w:rPr>
              <w:t>Jack</w:t>
            </w:r>
          </w:p>
        </w:tc>
        <w:tc>
          <w:tcPr>
            <w:tcW w:w="835" w:type="dxa"/>
          </w:tcPr>
          <w:p w:rsidR="00A60619" w:rsidRDefault="00A60619" w:rsidP="00BB6259">
            <w:pPr>
              <w:pStyle w:val="TableText"/>
              <w:rPr>
                <w:lang w:val="en-US"/>
              </w:rPr>
            </w:pPr>
            <w:r>
              <w:rPr>
                <w:lang w:val="en-US"/>
              </w:rPr>
              <w:t>M</w:t>
            </w:r>
          </w:p>
        </w:tc>
        <w:tc>
          <w:tcPr>
            <w:tcW w:w="1134" w:type="dxa"/>
          </w:tcPr>
          <w:p w:rsidR="00A60619" w:rsidRDefault="00A60619" w:rsidP="00BB6259">
            <w:pPr>
              <w:pStyle w:val="TableText"/>
            </w:pPr>
            <w:r w:rsidRPr="00D60368">
              <w:rPr>
                <w:lang w:val="en-US"/>
              </w:rPr>
              <w:t>25 &amp; over</w:t>
            </w:r>
          </w:p>
        </w:tc>
        <w:tc>
          <w:tcPr>
            <w:tcW w:w="1843" w:type="dxa"/>
          </w:tcPr>
          <w:p w:rsidR="00A60619" w:rsidRDefault="00A60619" w:rsidP="00BB6259">
            <w:pPr>
              <w:pStyle w:val="TableText"/>
              <w:rPr>
                <w:lang w:val="en-US"/>
              </w:rPr>
            </w:pPr>
            <w:r>
              <w:rPr>
                <w:lang w:val="en-US"/>
              </w:rPr>
              <w:t>Inner regional</w:t>
            </w:r>
          </w:p>
        </w:tc>
        <w:tc>
          <w:tcPr>
            <w:tcW w:w="2559" w:type="dxa"/>
          </w:tcPr>
          <w:p w:rsidR="00A60619" w:rsidRDefault="00A60619" w:rsidP="00BB6259">
            <w:pPr>
              <w:pStyle w:val="TableText"/>
              <w:rPr>
                <w:lang w:val="en-US"/>
              </w:rPr>
            </w:pPr>
            <w:r>
              <w:rPr>
                <w:lang w:val="en-US"/>
              </w:rPr>
              <w:t>Art, Architecture and Design</w:t>
            </w:r>
          </w:p>
        </w:tc>
        <w:tc>
          <w:tcPr>
            <w:tcW w:w="1500" w:type="dxa"/>
          </w:tcPr>
          <w:p w:rsidR="00A60619" w:rsidRDefault="00CC7767" w:rsidP="00BB6259">
            <w:pPr>
              <w:pStyle w:val="TableText"/>
              <w:rPr>
                <w:lang w:val="en-US"/>
              </w:rPr>
            </w:pPr>
            <w:r>
              <w:rPr>
                <w:lang w:val="en-US"/>
              </w:rPr>
              <w:t>Relocated</w:t>
            </w:r>
          </w:p>
        </w:tc>
      </w:tr>
      <w:tr w:rsidR="00A60619" w:rsidTr="00A60619">
        <w:tc>
          <w:tcPr>
            <w:tcW w:w="1145" w:type="dxa"/>
          </w:tcPr>
          <w:p w:rsidR="00A60619" w:rsidRDefault="00A60619" w:rsidP="00BB6259">
            <w:pPr>
              <w:pStyle w:val="TableText"/>
              <w:rPr>
                <w:lang w:val="en-US"/>
              </w:rPr>
            </w:pPr>
            <w:r>
              <w:rPr>
                <w:lang w:val="en-US"/>
              </w:rPr>
              <w:t>Ava</w:t>
            </w:r>
          </w:p>
        </w:tc>
        <w:tc>
          <w:tcPr>
            <w:tcW w:w="835" w:type="dxa"/>
          </w:tcPr>
          <w:p w:rsidR="00A60619" w:rsidRDefault="00A60619" w:rsidP="00BB6259">
            <w:pPr>
              <w:pStyle w:val="TableText"/>
              <w:rPr>
                <w:lang w:val="en-US"/>
              </w:rPr>
            </w:pPr>
            <w:r>
              <w:rPr>
                <w:lang w:val="en-US"/>
              </w:rPr>
              <w:t>F</w:t>
            </w:r>
          </w:p>
        </w:tc>
        <w:tc>
          <w:tcPr>
            <w:tcW w:w="1134" w:type="dxa"/>
          </w:tcPr>
          <w:p w:rsidR="00A60619" w:rsidRDefault="00A60619" w:rsidP="00BB6259">
            <w:pPr>
              <w:pStyle w:val="TableText"/>
            </w:pPr>
            <w:r w:rsidRPr="00D60368">
              <w:rPr>
                <w:lang w:val="en-US"/>
              </w:rPr>
              <w:t>25 &amp; over</w:t>
            </w:r>
          </w:p>
        </w:tc>
        <w:tc>
          <w:tcPr>
            <w:tcW w:w="1843" w:type="dxa"/>
          </w:tcPr>
          <w:p w:rsidR="00A60619" w:rsidRDefault="00A60619" w:rsidP="00BB6259">
            <w:pPr>
              <w:pStyle w:val="TableText"/>
              <w:rPr>
                <w:lang w:val="en-US"/>
              </w:rPr>
            </w:pPr>
            <w:r>
              <w:rPr>
                <w:lang w:val="en-US"/>
              </w:rPr>
              <w:t>Outer regional</w:t>
            </w:r>
          </w:p>
        </w:tc>
        <w:tc>
          <w:tcPr>
            <w:tcW w:w="2559" w:type="dxa"/>
          </w:tcPr>
          <w:p w:rsidR="00A60619" w:rsidRDefault="00A60619" w:rsidP="00BB6259">
            <w:pPr>
              <w:pStyle w:val="TableText"/>
              <w:rPr>
                <w:lang w:val="en-US"/>
              </w:rPr>
            </w:pPr>
            <w:r>
              <w:rPr>
                <w:lang w:val="en-US"/>
              </w:rPr>
              <w:t>Psychology, Social Work and Human Services</w:t>
            </w:r>
          </w:p>
        </w:tc>
        <w:tc>
          <w:tcPr>
            <w:tcW w:w="1500" w:type="dxa"/>
          </w:tcPr>
          <w:p w:rsidR="00A60619" w:rsidRDefault="00CC7767" w:rsidP="00BB6259">
            <w:pPr>
              <w:pStyle w:val="TableText"/>
              <w:rPr>
                <w:lang w:val="en-US"/>
              </w:rPr>
            </w:pPr>
            <w:r>
              <w:rPr>
                <w:lang w:val="en-US"/>
              </w:rPr>
              <w:t>Non-relocated</w:t>
            </w:r>
          </w:p>
        </w:tc>
      </w:tr>
      <w:tr w:rsidR="00A60619" w:rsidTr="00A60619">
        <w:tc>
          <w:tcPr>
            <w:tcW w:w="1145" w:type="dxa"/>
          </w:tcPr>
          <w:p w:rsidR="00A60619" w:rsidRDefault="00A60619" w:rsidP="00BB6259">
            <w:pPr>
              <w:pStyle w:val="TableText"/>
              <w:rPr>
                <w:lang w:val="en-US"/>
              </w:rPr>
            </w:pPr>
            <w:r>
              <w:rPr>
                <w:lang w:val="en-US"/>
              </w:rPr>
              <w:t>Adam</w:t>
            </w:r>
          </w:p>
        </w:tc>
        <w:tc>
          <w:tcPr>
            <w:tcW w:w="835" w:type="dxa"/>
          </w:tcPr>
          <w:p w:rsidR="00A60619" w:rsidRDefault="00A60619" w:rsidP="00BB6259">
            <w:pPr>
              <w:pStyle w:val="TableText"/>
              <w:rPr>
                <w:lang w:val="en-US"/>
              </w:rPr>
            </w:pPr>
            <w:r>
              <w:rPr>
                <w:lang w:val="en-US"/>
              </w:rPr>
              <w:t>M</w:t>
            </w:r>
          </w:p>
        </w:tc>
        <w:tc>
          <w:tcPr>
            <w:tcW w:w="1134" w:type="dxa"/>
          </w:tcPr>
          <w:p w:rsidR="00A60619" w:rsidRDefault="00A60619" w:rsidP="00BB6259">
            <w:pPr>
              <w:pStyle w:val="TableText"/>
            </w:pPr>
            <w:r w:rsidRPr="00D60368">
              <w:rPr>
                <w:lang w:val="en-US"/>
              </w:rPr>
              <w:t>25 &amp; over</w:t>
            </w:r>
          </w:p>
        </w:tc>
        <w:tc>
          <w:tcPr>
            <w:tcW w:w="1843" w:type="dxa"/>
          </w:tcPr>
          <w:p w:rsidR="00A60619" w:rsidRDefault="00A60619" w:rsidP="00BB6259">
            <w:pPr>
              <w:pStyle w:val="TableText"/>
              <w:rPr>
                <w:lang w:val="en-US"/>
              </w:rPr>
            </w:pPr>
            <w:r>
              <w:rPr>
                <w:lang w:val="en-US"/>
              </w:rPr>
              <w:t>Inner regional</w:t>
            </w:r>
          </w:p>
        </w:tc>
        <w:tc>
          <w:tcPr>
            <w:tcW w:w="2559" w:type="dxa"/>
          </w:tcPr>
          <w:p w:rsidR="00A60619" w:rsidRDefault="00A60619" w:rsidP="00BB6259">
            <w:pPr>
              <w:pStyle w:val="TableText"/>
              <w:rPr>
                <w:lang w:val="en-US"/>
              </w:rPr>
            </w:pPr>
            <w:r>
              <w:rPr>
                <w:lang w:val="en-US"/>
              </w:rPr>
              <w:t>Information Technology</w:t>
            </w:r>
          </w:p>
        </w:tc>
        <w:tc>
          <w:tcPr>
            <w:tcW w:w="1500" w:type="dxa"/>
          </w:tcPr>
          <w:p w:rsidR="00A60619" w:rsidRDefault="00CC7767" w:rsidP="00BB6259">
            <w:pPr>
              <w:pStyle w:val="TableText"/>
              <w:rPr>
                <w:lang w:val="en-US"/>
              </w:rPr>
            </w:pPr>
            <w:r>
              <w:rPr>
                <w:lang w:val="en-US"/>
              </w:rPr>
              <w:t>Relocated</w:t>
            </w:r>
          </w:p>
        </w:tc>
      </w:tr>
      <w:tr w:rsidR="00A60619" w:rsidTr="00A60619">
        <w:tc>
          <w:tcPr>
            <w:tcW w:w="1145" w:type="dxa"/>
          </w:tcPr>
          <w:p w:rsidR="00A60619" w:rsidRDefault="00A60619" w:rsidP="00BB6259">
            <w:pPr>
              <w:pStyle w:val="TableText"/>
              <w:rPr>
                <w:lang w:val="en-US"/>
              </w:rPr>
            </w:pPr>
            <w:r>
              <w:rPr>
                <w:lang w:val="en-US"/>
              </w:rPr>
              <w:t>Katarina</w:t>
            </w:r>
          </w:p>
        </w:tc>
        <w:tc>
          <w:tcPr>
            <w:tcW w:w="835" w:type="dxa"/>
          </w:tcPr>
          <w:p w:rsidR="00A60619" w:rsidRDefault="00A60619" w:rsidP="00BB6259">
            <w:pPr>
              <w:pStyle w:val="TableText"/>
              <w:rPr>
                <w:lang w:val="en-US"/>
              </w:rPr>
            </w:pPr>
            <w:r>
              <w:rPr>
                <w:lang w:val="en-US"/>
              </w:rPr>
              <w:t>F</w:t>
            </w:r>
          </w:p>
        </w:tc>
        <w:tc>
          <w:tcPr>
            <w:tcW w:w="1134" w:type="dxa"/>
          </w:tcPr>
          <w:p w:rsidR="00A60619" w:rsidRDefault="00A60619" w:rsidP="00BB6259">
            <w:pPr>
              <w:pStyle w:val="TableText"/>
            </w:pPr>
            <w:r w:rsidRPr="00D60368">
              <w:rPr>
                <w:lang w:val="en-US"/>
              </w:rPr>
              <w:t>25 &amp; over</w:t>
            </w:r>
          </w:p>
        </w:tc>
        <w:tc>
          <w:tcPr>
            <w:tcW w:w="1843" w:type="dxa"/>
          </w:tcPr>
          <w:p w:rsidR="00A60619" w:rsidRDefault="00A60619" w:rsidP="00BB6259">
            <w:pPr>
              <w:pStyle w:val="TableText"/>
              <w:rPr>
                <w:lang w:val="en-US"/>
              </w:rPr>
            </w:pPr>
            <w:r>
              <w:rPr>
                <w:lang w:val="en-US"/>
              </w:rPr>
              <w:t>Inner regional</w:t>
            </w:r>
          </w:p>
        </w:tc>
        <w:tc>
          <w:tcPr>
            <w:tcW w:w="2559" w:type="dxa"/>
          </w:tcPr>
          <w:p w:rsidR="00A60619" w:rsidRDefault="00A60619" w:rsidP="00BB6259">
            <w:pPr>
              <w:pStyle w:val="TableText"/>
              <w:rPr>
                <w:lang w:val="en-US"/>
              </w:rPr>
            </w:pPr>
            <w:r>
              <w:rPr>
                <w:lang w:val="en-US"/>
              </w:rPr>
              <w:t>Psychology, Social Work and Human Services</w:t>
            </w:r>
          </w:p>
        </w:tc>
        <w:tc>
          <w:tcPr>
            <w:tcW w:w="1500" w:type="dxa"/>
          </w:tcPr>
          <w:p w:rsidR="00A60619" w:rsidRDefault="00CC7767" w:rsidP="00BB6259">
            <w:pPr>
              <w:pStyle w:val="TableText"/>
              <w:rPr>
                <w:lang w:val="en-US"/>
              </w:rPr>
            </w:pPr>
            <w:r>
              <w:rPr>
                <w:lang w:val="en-US"/>
              </w:rPr>
              <w:t>Non-relocated</w:t>
            </w:r>
          </w:p>
        </w:tc>
      </w:tr>
      <w:tr w:rsidR="00A60619" w:rsidTr="00A60619">
        <w:tc>
          <w:tcPr>
            <w:tcW w:w="1145" w:type="dxa"/>
          </w:tcPr>
          <w:p w:rsidR="00A60619" w:rsidRDefault="00A60619" w:rsidP="00BB6259">
            <w:pPr>
              <w:pStyle w:val="TableText"/>
              <w:rPr>
                <w:lang w:val="en-US"/>
              </w:rPr>
            </w:pPr>
            <w:r>
              <w:rPr>
                <w:lang w:val="en-US"/>
              </w:rPr>
              <w:t>Emma</w:t>
            </w:r>
          </w:p>
        </w:tc>
        <w:tc>
          <w:tcPr>
            <w:tcW w:w="835" w:type="dxa"/>
          </w:tcPr>
          <w:p w:rsidR="00A60619" w:rsidRDefault="00A60619" w:rsidP="00BB6259">
            <w:pPr>
              <w:pStyle w:val="TableText"/>
              <w:rPr>
                <w:lang w:val="en-US"/>
              </w:rPr>
            </w:pPr>
            <w:r>
              <w:rPr>
                <w:lang w:val="en-US"/>
              </w:rPr>
              <w:t>F</w:t>
            </w:r>
          </w:p>
        </w:tc>
        <w:tc>
          <w:tcPr>
            <w:tcW w:w="1134" w:type="dxa"/>
          </w:tcPr>
          <w:p w:rsidR="00A60619" w:rsidRDefault="00A60619" w:rsidP="00BB6259">
            <w:pPr>
              <w:pStyle w:val="TableText"/>
            </w:pPr>
            <w:r w:rsidRPr="00D60368">
              <w:rPr>
                <w:lang w:val="en-US"/>
              </w:rPr>
              <w:t>25 &amp; over</w:t>
            </w:r>
          </w:p>
        </w:tc>
        <w:tc>
          <w:tcPr>
            <w:tcW w:w="1843" w:type="dxa"/>
          </w:tcPr>
          <w:p w:rsidR="00A60619" w:rsidRDefault="00A60619" w:rsidP="00BB6259">
            <w:pPr>
              <w:pStyle w:val="TableText"/>
              <w:rPr>
                <w:lang w:val="en-US"/>
              </w:rPr>
            </w:pPr>
            <w:r>
              <w:rPr>
                <w:lang w:val="en-US"/>
              </w:rPr>
              <w:t>Remote</w:t>
            </w:r>
          </w:p>
        </w:tc>
        <w:tc>
          <w:tcPr>
            <w:tcW w:w="2559" w:type="dxa"/>
          </w:tcPr>
          <w:p w:rsidR="00A60619" w:rsidRDefault="00A60619" w:rsidP="00BB6259">
            <w:pPr>
              <w:pStyle w:val="TableText"/>
              <w:rPr>
                <w:lang w:val="en-US"/>
              </w:rPr>
            </w:pPr>
            <w:r>
              <w:rPr>
                <w:lang w:val="en-US"/>
              </w:rPr>
              <w:t>Rehabilitation, Health and Sports Science</w:t>
            </w:r>
          </w:p>
        </w:tc>
        <w:tc>
          <w:tcPr>
            <w:tcW w:w="1500" w:type="dxa"/>
          </w:tcPr>
          <w:p w:rsidR="00A60619" w:rsidRDefault="00CC7767" w:rsidP="00BB6259">
            <w:pPr>
              <w:pStyle w:val="TableText"/>
              <w:rPr>
                <w:lang w:val="en-US"/>
              </w:rPr>
            </w:pPr>
            <w:r>
              <w:rPr>
                <w:lang w:val="en-US"/>
              </w:rPr>
              <w:t>Relocated</w:t>
            </w:r>
          </w:p>
        </w:tc>
      </w:tr>
      <w:tr w:rsidR="00A60619" w:rsidTr="00A60619">
        <w:tc>
          <w:tcPr>
            <w:tcW w:w="1145" w:type="dxa"/>
          </w:tcPr>
          <w:p w:rsidR="00A60619" w:rsidRDefault="00A60619" w:rsidP="00BB6259">
            <w:pPr>
              <w:pStyle w:val="TableText"/>
              <w:rPr>
                <w:lang w:val="en-US"/>
              </w:rPr>
            </w:pPr>
            <w:r>
              <w:rPr>
                <w:lang w:val="en-US"/>
              </w:rPr>
              <w:t>Emily</w:t>
            </w:r>
          </w:p>
        </w:tc>
        <w:tc>
          <w:tcPr>
            <w:tcW w:w="835" w:type="dxa"/>
          </w:tcPr>
          <w:p w:rsidR="00A60619" w:rsidRDefault="00A60619" w:rsidP="00BB6259">
            <w:pPr>
              <w:pStyle w:val="TableText"/>
              <w:rPr>
                <w:lang w:val="en-US"/>
              </w:rPr>
            </w:pPr>
            <w:r>
              <w:rPr>
                <w:lang w:val="en-US"/>
              </w:rPr>
              <w:t>F</w:t>
            </w:r>
          </w:p>
        </w:tc>
        <w:tc>
          <w:tcPr>
            <w:tcW w:w="1134" w:type="dxa"/>
          </w:tcPr>
          <w:p w:rsidR="00A60619" w:rsidRDefault="00A60619" w:rsidP="00BB6259">
            <w:pPr>
              <w:pStyle w:val="TableText"/>
            </w:pPr>
            <w:r w:rsidRPr="00D60368">
              <w:rPr>
                <w:lang w:val="en-US"/>
              </w:rPr>
              <w:t>25 &amp; over</w:t>
            </w:r>
          </w:p>
        </w:tc>
        <w:tc>
          <w:tcPr>
            <w:tcW w:w="1843" w:type="dxa"/>
          </w:tcPr>
          <w:p w:rsidR="00A60619" w:rsidRDefault="00A60619" w:rsidP="00BB6259">
            <w:pPr>
              <w:pStyle w:val="TableText"/>
              <w:rPr>
                <w:lang w:val="en-US"/>
              </w:rPr>
            </w:pPr>
            <w:r>
              <w:rPr>
                <w:lang w:val="en-US"/>
              </w:rPr>
              <w:t>Outer regional</w:t>
            </w:r>
          </w:p>
        </w:tc>
        <w:tc>
          <w:tcPr>
            <w:tcW w:w="2559" w:type="dxa"/>
          </w:tcPr>
          <w:p w:rsidR="00A60619" w:rsidRDefault="00A60619" w:rsidP="00BB6259">
            <w:pPr>
              <w:pStyle w:val="TableText"/>
              <w:rPr>
                <w:lang w:val="en-US"/>
              </w:rPr>
            </w:pPr>
            <w:r>
              <w:rPr>
                <w:lang w:val="en-US"/>
              </w:rPr>
              <w:t>Nursing and Midwifery</w:t>
            </w:r>
          </w:p>
        </w:tc>
        <w:tc>
          <w:tcPr>
            <w:tcW w:w="1500" w:type="dxa"/>
          </w:tcPr>
          <w:p w:rsidR="00A60619" w:rsidRDefault="00CC7767" w:rsidP="00BB6259">
            <w:pPr>
              <w:pStyle w:val="TableText"/>
              <w:rPr>
                <w:lang w:val="en-US"/>
              </w:rPr>
            </w:pPr>
            <w:r>
              <w:rPr>
                <w:lang w:val="en-US"/>
              </w:rPr>
              <w:t>Non-relocated</w:t>
            </w:r>
          </w:p>
        </w:tc>
      </w:tr>
      <w:tr w:rsidR="00A60619" w:rsidTr="00A60619">
        <w:tc>
          <w:tcPr>
            <w:tcW w:w="1145" w:type="dxa"/>
          </w:tcPr>
          <w:p w:rsidR="00A60619" w:rsidRDefault="00A60619" w:rsidP="00BB6259">
            <w:pPr>
              <w:pStyle w:val="TableText"/>
              <w:rPr>
                <w:lang w:val="en-US"/>
              </w:rPr>
            </w:pPr>
            <w:r>
              <w:rPr>
                <w:lang w:val="en-US"/>
              </w:rPr>
              <w:t>Lisa</w:t>
            </w:r>
          </w:p>
        </w:tc>
        <w:tc>
          <w:tcPr>
            <w:tcW w:w="835" w:type="dxa"/>
          </w:tcPr>
          <w:p w:rsidR="00A60619" w:rsidRDefault="00A60619" w:rsidP="00BB6259">
            <w:pPr>
              <w:pStyle w:val="TableText"/>
              <w:rPr>
                <w:lang w:val="en-US"/>
              </w:rPr>
            </w:pPr>
            <w:r>
              <w:rPr>
                <w:lang w:val="en-US"/>
              </w:rPr>
              <w:t>F</w:t>
            </w:r>
          </w:p>
        </w:tc>
        <w:tc>
          <w:tcPr>
            <w:tcW w:w="1134" w:type="dxa"/>
          </w:tcPr>
          <w:p w:rsidR="00A60619" w:rsidRDefault="00A60619" w:rsidP="00BB6259">
            <w:pPr>
              <w:pStyle w:val="TableText"/>
            </w:pPr>
            <w:r w:rsidRPr="00D60368">
              <w:rPr>
                <w:lang w:val="en-US"/>
              </w:rPr>
              <w:t>25 &amp; over</w:t>
            </w:r>
          </w:p>
        </w:tc>
        <w:tc>
          <w:tcPr>
            <w:tcW w:w="1843" w:type="dxa"/>
          </w:tcPr>
          <w:p w:rsidR="00A60619" w:rsidRDefault="00A60619" w:rsidP="00BB6259">
            <w:pPr>
              <w:pStyle w:val="TableText"/>
              <w:rPr>
                <w:lang w:val="en-US"/>
              </w:rPr>
            </w:pPr>
            <w:r>
              <w:rPr>
                <w:lang w:val="en-US"/>
              </w:rPr>
              <w:t>Remote</w:t>
            </w:r>
          </w:p>
        </w:tc>
        <w:tc>
          <w:tcPr>
            <w:tcW w:w="2559" w:type="dxa"/>
          </w:tcPr>
          <w:p w:rsidR="00A60619" w:rsidRDefault="00A60619" w:rsidP="00BB6259">
            <w:pPr>
              <w:pStyle w:val="TableText"/>
              <w:rPr>
                <w:lang w:val="en-US"/>
              </w:rPr>
            </w:pPr>
            <w:r>
              <w:rPr>
                <w:lang w:val="en-US"/>
              </w:rPr>
              <w:t>Nursing and Midwifery</w:t>
            </w:r>
          </w:p>
        </w:tc>
        <w:tc>
          <w:tcPr>
            <w:tcW w:w="1500" w:type="dxa"/>
          </w:tcPr>
          <w:p w:rsidR="00A60619" w:rsidRDefault="00BB6259" w:rsidP="00BB6259">
            <w:pPr>
              <w:pStyle w:val="TableText"/>
              <w:rPr>
                <w:lang w:val="en-US"/>
              </w:rPr>
            </w:pPr>
            <w:r>
              <w:rPr>
                <w:lang w:val="en-US"/>
              </w:rPr>
              <w:t>Non-relocated</w:t>
            </w:r>
          </w:p>
        </w:tc>
      </w:tr>
      <w:tr w:rsidR="00A60619" w:rsidTr="00A60619">
        <w:tc>
          <w:tcPr>
            <w:tcW w:w="1145" w:type="dxa"/>
          </w:tcPr>
          <w:p w:rsidR="00A60619" w:rsidRDefault="00A60619" w:rsidP="00BB6259">
            <w:pPr>
              <w:pStyle w:val="TableText"/>
              <w:rPr>
                <w:lang w:val="en-US"/>
              </w:rPr>
            </w:pPr>
            <w:r>
              <w:rPr>
                <w:lang w:val="en-US"/>
              </w:rPr>
              <w:t>Zara</w:t>
            </w:r>
          </w:p>
        </w:tc>
        <w:tc>
          <w:tcPr>
            <w:tcW w:w="835" w:type="dxa"/>
          </w:tcPr>
          <w:p w:rsidR="00A60619" w:rsidRDefault="00A60619" w:rsidP="00BB6259">
            <w:pPr>
              <w:pStyle w:val="TableText"/>
              <w:rPr>
                <w:lang w:val="en-US"/>
              </w:rPr>
            </w:pPr>
            <w:r>
              <w:rPr>
                <w:lang w:val="en-US"/>
              </w:rPr>
              <w:t>F</w:t>
            </w:r>
          </w:p>
        </w:tc>
        <w:tc>
          <w:tcPr>
            <w:tcW w:w="1134" w:type="dxa"/>
          </w:tcPr>
          <w:p w:rsidR="00A60619" w:rsidRDefault="00A60619" w:rsidP="00BB6259">
            <w:pPr>
              <w:pStyle w:val="TableText"/>
            </w:pPr>
            <w:r w:rsidRPr="001510F0">
              <w:rPr>
                <w:lang w:val="en-US"/>
              </w:rPr>
              <w:t>Under 25</w:t>
            </w:r>
          </w:p>
        </w:tc>
        <w:tc>
          <w:tcPr>
            <w:tcW w:w="1843" w:type="dxa"/>
          </w:tcPr>
          <w:p w:rsidR="00A60619" w:rsidRDefault="00A60619" w:rsidP="00BB6259">
            <w:pPr>
              <w:pStyle w:val="TableText"/>
              <w:rPr>
                <w:lang w:val="en-US"/>
              </w:rPr>
            </w:pPr>
            <w:r>
              <w:rPr>
                <w:lang w:val="en-US"/>
              </w:rPr>
              <w:t>Inner regional</w:t>
            </w:r>
          </w:p>
        </w:tc>
        <w:tc>
          <w:tcPr>
            <w:tcW w:w="2559" w:type="dxa"/>
          </w:tcPr>
          <w:p w:rsidR="00A60619" w:rsidRDefault="00A60619" w:rsidP="00BB6259">
            <w:pPr>
              <w:pStyle w:val="TableText"/>
              <w:rPr>
                <w:lang w:val="en-US"/>
              </w:rPr>
            </w:pPr>
            <w:r>
              <w:rPr>
                <w:lang w:val="en-US"/>
              </w:rPr>
              <w:t>Nursing and Midwifery</w:t>
            </w:r>
          </w:p>
        </w:tc>
        <w:tc>
          <w:tcPr>
            <w:tcW w:w="1500" w:type="dxa"/>
          </w:tcPr>
          <w:p w:rsidR="00A60619" w:rsidRDefault="00BB6259" w:rsidP="00BB6259">
            <w:pPr>
              <w:pStyle w:val="TableText"/>
              <w:rPr>
                <w:lang w:val="en-US"/>
              </w:rPr>
            </w:pPr>
            <w:r>
              <w:rPr>
                <w:lang w:val="en-US"/>
              </w:rPr>
              <w:t>Relocated</w:t>
            </w:r>
          </w:p>
        </w:tc>
      </w:tr>
      <w:tr w:rsidR="00BB6259" w:rsidTr="00A60619">
        <w:tc>
          <w:tcPr>
            <w:tcW w:w="1145" w:type="dxa"/>
          </w:tcPr>
          <w:p w:rsidR="00BB6259" w:rsidRDefault="00BB6259" w:rsidP="00BB6259">
            <w:pPr>
              <w:pStyle w:val="TableText"/>
              <w:rPr>
                <w:lang w:val="en-US"/>
              </w:rPr>
            </w:pPr>
            <w:r>
              <w:rPr>
                <w:lang w:val="en-US"/>
              </w:rPr>
              <w:t>Sienna</w:t>
            </w:r>
          </w:p>
        </w:tc>
        <w:tc>
          <w:tcPr>
            <w:tcW w:w="835" w:type="dxa"/>
          </w:tcPr>
          <w:p w:rsidR="00BB6259" w:rsidRDefault="00BB6259" w:rsidP="00BB6259">
            <w:pPr>
              <w:pStyle w:val="TableText"/>
              <w:rPr>
                <w:lang w:val="en-US"/>
              </w:rPr>
            </w:pPr>
            <w:r>
              <w:rPr>
                <w:lang w:val="en-US"/>
              </w:rPr>
              <w:t>F</w:t>
            </w:r>
          </w:p>
        </w:tc>
        <w:tc>
          <w:tcPr>
            <w:tcW w:w="1134" w:type="dxa"/>
          </w:tcPr>
          <w:p w:rsidR="00BB6259" w:rsidRDefault="00BB6259" w:rsidP="00BB6259">
            <w:pPr>
              <w:pStyle w:val="TableText"/>
            </w:pPr>
            <w:r w:rsidRPr="001510F0">
              <w:rPr>
                <w:lang w:val="en-US"/>
              </w:rPr>
              <w:t>Under 25</w:t>
            </w:r>
          </w:p>
        </w:tc>
        <w:tc>
          <w:tcPr>
            <w:tcW w:w="1843" w:type="dxa"/>
          </w:tcPr>
          <w:p w:rsidR="00BB6259" w:rsidRDefault="00BB6259" w:rsidP="00BB6259">
            <w:pPr>
              <w:pStyle w:val="TableText"/>
              <w:rPr>
                <w:lang w:val="en-US"/>
              </w:rPr>
            </w:pPr>
            <w:r>
              <w:rPr>
                <w:lang w:val="en-US"/>
              </w:rPr>
              <w:t>Outer regional</w:t>
            </w:r>
          </w:p>
        </w:tc>
        <w:tc>
          <w:tcPr>
            <w:tcW w:w="2559" w:type="dxa"/>
          </w:tcPr>
          <w:p w:rsidR="00BB6259" w:rsidRDefault="00BB6259" w:rsidP="00BB6259">
            <w:pPr>
              <w:pStyle w:val="TableText"/>
              <w:rPr>
                <w:lang w:val="en-US"/>
              </w:rPr>
            </w:pPr>
            <w:r>
              <w:rPr>
                <w:lang w:val="en-US"/>
              </w:rPr>
              <w:t>Rehabilitation, Health and Sports Science</w:t>
            </w:r>
          </w:p>
        </w:tc>
        <w:tc>
          <w:tcPr>
            <w:tcW w:w="1500" w:type="dxa"/>
          </w:tcPr>
          <w:p w:rsidR="00BB6259" w:rsidRDefault="00BB6259" w:rsidP="00BB6259">
            <w:pPr>
              <w:pStyle w:val="TableText"/>
            </w:pPr>
            <w:r w:rsidRPr="00CF5952">
              <w:rPr>
                <w:lang w:val="en-US"/>
              </w:rPr>
              <w:t>Relocated</w:t>
            </w:r>
          </w:p>
        </w:tc>
      </w:tr>
      <w:tr w:rsidR="00BB6259" w:rsidTr="00A60619">
        <w:tc>
          <w:tcPr>
            <w:tcW w:w="1145" w:type="dxa"/>
          </w:tcPr>
          <w:p w:rsidR="00BB6259" w:rsidRDefault="00BB6259" w:rsidP="00BB6259">
            <w:pPr>
              <w:pStyle w:val="TableText"/>
              <w:rPr>
                <w:lang w:val="en-US"/>
              </w:rPr>
            </w:pPr>
            <w:r>
              <w:rPr>
                <w:lang w:val="en-US"/>
              </w:rPr>
              <w:t>Lucy</w:t>
            </w:r>
          </w:p>
        </w:tc>
        <w:tc>
          <w:tcPr>
            <w:tcW w:w="835" w:type="dxa"/>
          </w:tcPr>
          <w:p w:rsidR="00BB6259" w:rsidRDefault="00BB6259" w:rsidP="00BB6259">
            <w:pPr>
              <w:pStyle w:val="TableText"/>
              <w:rPr>
                <w:lang w:val="en-US"/>
              </w:rPr>
            </w:pPr>
            <w:r>
              <w:rPr>
                <w:lang w:val="en-US"/>
              </w:rPr>
              <w:t>F</w:t>
            </w:r>
          </w:p>
        </w:tc>
        <w:tc>
          <w:tcPr>
            <w:tcW w:w="1134" w:type="dxa"/>
          </w:tcPr>
          <w:p w:rsidR="00BB6259" w:rsidRDefault="00BB6259" w:rsidP="00BB6259">
            <w:pPr>
              <w:pStyle w:val="TableText"/>
            </w:pPr>
            <w:r w:rsidRPr="001510F0">
              <w:rPr>
                <w:lang w:val="en-US"/>
              </w:rPr>
              <w:t>Under 25</w:t>
            </w:r>
          </w:p>
        </w:tc>
        <w:tc>
          <w:tcPr>
            <w:tcW w:w="1843" w:type="dxa"/>
          </w:tcPr>
          <w:p w:rsidR="00BB6259" w:rsidRDefault="00BB6259" w:rsidP="00BB6259">
            <w:pPr>
              <w:pStyle w:val="TableText"/>
              <w:rPr>
                <w:lang w:val="en-US"/>
              </w:rPr>
            </w:pPr>
            <w:r>
              <w:rPr>
                <w:lang w:val="en-US"/>
              </w:rPr>
              <w:t>Inner regional</w:t>
            </w:r>
          </w:p>
        </w:tc>
        <w:tc>
          <w:tcPr>
            <w:tcW w:w="2559" w:type="dxa"/>
          </w:tcPr>
          <w:p w:rsidR="00BB6259" w:rsidRDefault="00BB6259" w:rsidP="00BB6259">
            <w:pPr>
              <w:pStyle w:val="TableText"/>
              <w:rPr>
                <w:lang w:val="en-US"/>
              </w:rPr>
            </w:pPr>
            <w:r>
              <w:rPr>
                <w:lang w:val="en-US"/>
              </w:rPr>
              <w:t>Rehabilitation, Health and Sports Science</w:t>
            </w:r>
          </w:p>
        </w:tc>
        <w:tc>
          <w:tcPr>
            <w:tcW w:w="1500" w:type="dxa"/>
          </w:tcPr>
          <w:p w:rsidR="00BB6259" w:rsidRDefault="00BB6259" w:rsidP="00BB6259">
            <w:pPr>
              <w:pStyle w:val="TableText"/>
            </w:pPr>
            <w:r w:rsidRPr="00CF5952">
              <w:rPr>
                <w:lang w:val="en-US"/>
              </w:rPr>
              <w:t>Relocated</w:t>
            </w:r>
          </w:p>
        </w:tc>
      </w:tr>
      <w:tr w:rsidR="00BB6259" w:rsidTr="00A60619">
        <w:tc>
          <w:tcPr>
            <w:tcW w:w="1145" w:type="dxa"/>
          </w:tcPr>
          <w:p w:rsidR="00BB6259" w:rsidRDefault="00BB6259" w:rsidP="00BB6259">
            <w:pPr>
              <w:pStyle w:val="TableText"/>
              <w:rPr>
                <w:lang w:val="en-US"/>
              </w:rPr>
            </w:pPr>
            <w:r>
              <w:rPr>
                <w:lang w:val="en-US"/>
              </w:rPr>
              <w:t>Ben</w:t>
            </w:r>
          </w:p>
        </w:tc>
        <w:tc>
          <w:tcPr>
            <w:tcW w:w="835" w:type="dxa"/>
          </w:tcPr>
          <w:p w:rsidR="00BB6259" w:rsidRDefault="00BB6259" w:rsidP="00BB6259">
            <w:pPr>
              <w:pStyle w:val="TableText"/>
              <w:rPr>
                <w:lang w:val="en-US"/>
              </w:rPr>
            </w:pPr>
            <w:r>
              <w:rPr>
                <w:lang w:val="en-US"/>
              </w:rPr>
              <w:t>M</w:t>
            </w:r>
          </w:p>
        </w:tc>
        <w:tc>
          <w:tcPr>
            <w:tcW w:w="1134" w:type="dxa"/>
          </w:tcPr>
          <w:p w:rsidR="00BB6259" w:rsidRDefault="00BB6259" w:rsidP="00BB6259">
            <w:pPr>
              <w:pStyle w:val="TableText"/>
            </w:pPr>
            <w:r w:rsidRPr="001510F0">
              <w:rPr>
                <w:lang w:val="en-US"/>
              </w:rPr>
              <w:t>Under 25</w:t>
            </w:r>
          </w:p>
        </w:tc>
        <w:tc>
          <w:tcPr>
            <w:tcW w:w="1843" w:type="dxa"/>
          </w:tcPr>
          <w:p w:rsidR="00BB6259" w:rsidRDefault="00BB6259" w:rsidP="00BB6259">
            <w:pPr>
              <w:pStyle w:val="TableText"/>
              <w:rPr>
                <w:lang w:val="en-US"/>
              </w:rPr>
            </w:pPr>
            <w:r>
              <w:rPr>
                <w:lang w:val="en-US"/>
              </w:rPr>
              <w:t>Outer regional</w:t>
            </w:r>
          </w:p>
        </w:tc>
        <w:tc>
          <w:tcPr>
            <w:tcW w:w="2559" w:type="dxa"/>
          </w:tcPr>
          <w:p w:rsidR="00BB6259" w:rsidRDefault="00BB6259" w:rsidP="00BB6259">
            <w:pPr>
              <w:pStyle w:val="TableText"/>
              <w:rPr>
                <w:lang w:val="en-US"/>
              </w:rPr>
            </w:pPr>
            <w:r>
              <w:rPr>
                <w:lang w:val="en-US"/>
              </w:rPr>
              <w:t>Construction Management</w:t>
            </w:r>
          </w:p>
        </w:tc>
        <w:tc>
          <w:tcPr>
            <w:tcW w:w="1500" w:type="dxa"/>
          </w:tcPr>
          <w:p w:rsidR="00BB6259" w:rsidRDefault="00BB6259" w:rsidP="00BB6259">
            <w:pPr>
              <w:pStyle w:val="TableText"/>
            </w:pPr>
            <w:r w:rsidRPr="00CF5952">
              <w:rPr>
                <w:lang w:val="en-US"/>
              </w:rPr>
              <w:t>Relocated</w:t>
            </w:r>
          </w:p>
        </w:tc>
      </w:tr>
      <w:tr w:rsidR="00BB6259" w:rsidTr="00A60619">
        <w:tc>
          <w:tcPr>
            <w:tcW w:w="1145" w:type="dxa"/>
          </w:tcPr>
          <w:p w:rsidR="00BB6259" w:rsidRDefault="00BB6259" w:rsidP="00BB6259">
            <w:pPr>
              <w:pStyle w:val="TableText"/>
              <w:rPr>
                <w:lang w:val="en-US"/>
              </w:rPr>
            </w:pPr>
            <w:r>
              <w:rPr>
                <w:lang w:val="en-US"/>
              </w:rPr>
              <w:t>Harry</w:t>
            </w:r>
          </w:p>
        </w:tc>
        <w:tc>
          <w:tcPr>
            <w:tcW w:w="835" w:type="dxa"/>
          </w:tcPr>
          <w:p w:rsidR="00BB6259" w:rsidRDefault="00BB6259" w:rsidP="00BB6259">
            <w:pPr>
              <w:pStyle w:val="TableText"/>
              <w:rPr>
                <w:lang w:val="en-US"/>
              </w:rPr>
            </w:pPr>
            <w:r>
              <w:rPr>
                <w:lang w:val="en-US"/>
              </w:rPr>
              <w:t>M</w:t>
            </w:r>
          </w:p>
        </w:tc>
        <w:tc>
          <w:tcPr>
            <w:tcW w:w="1134" w:type="dxa"/>
          </w:tcPr>
          <w:p w:rsidR="00BB6259" w:rsidRDefault="00BB6259" w:rsidP="00BB6259">
            <w:pPr>
              <w:pStyle w:val="TableText"/>
            </w:pPr>
            <w:r w:rsidRPr="001510F0">
              <w:rPr>
                <w:lang w:val="en-US"/>
              </w:rPr>
              <w:t>Under 25</w:t>
            </w:r>
          </w:p>
        </w:tc>
        <w:tc>
          <w:tcPr>
            <w:tcW w:w="1843" w:type="dxa"/>
          </w:tcPr>
          <w:p w:rsidR="00BB6259" w:rsidRDefault="00BB6259" w:rsidP="00BB6259">
            <w:pPr>
              <w:pStyle w:val="TableText"/>
              <w:rPr>
                <w:lang w:val="en-US"/>
              </w:rPr>
            </w:pPr>
            <w:r>
              <w:rPr>
                <w:lang w:val="en-US"/>
              </w:rPr>
              <w:t>Remote</w:t>
            </w:r>
          </w:p>
        </w:tc>
        <w:tc>
          <w:tcPr>
            <w:tcW w:w="2559" w:type="dxa"/>
          </w:tcPr>
          <w:p w:rsidR="00BB6259" w:rsidRDefault="00BB6259" w:rsidP="00BB6259">
            <w:pPr>
              <w:pStyle w:val="TableText"/>
              <w:rPr>
                <w:lang w:val="en-US"/>
              </w:rPr>
            </w:pPr>
            <w:r>
              <w:rPr>
                <w:lang w:val="en-US"/>
              </w:rPr>
              <w:t>Tourism, Sports and Events</w:t>
            </w:r>
          </w:p>
        </w:tc>
        <w:tc>
          <w:tcPr>
            <w:tcW w:w="1500" w:type="dxa"/>
          </w:tcPr>
          <w:p w:rsidR="00BB6259" w:rsidRDefault="00BB6259" w:rsidP="00BB6259">
            <w:pPr>
              <w:pStyle w:val="TableText"/>
            </w:pPr>
            <w:r w:rsidRPr="00CF5952">
              <w:rPr>
                <w:lang w:val="en-US"/>
              </w:rPr>
              <w:t>Relocated</w:t>
            </w:r>
          </w:p>
        </w:tc>
      </w:tr>
      <w:tr w:rsidR="00BB6259" w:rsidTr="00A60619">
        <w:tc>
          <w:tcPr>
            <w:tcW w:w="1145" w:type="dxa"/>
          </w:tcPr>
          <w:p w:rsidR="00BB6259" w:rsidRDefault="00BB6259" w:rsidP="00BB6259">
            <w:pPr>
              <w:pStyle w:val="TableText"/>
              <w:rPr>
                <w:lang w:val="en-US"/>
              </w:rPr>
            </w:pPr>
            <w:r>
              <w:rPr>
                <w:lang w:val="en-US"/>
              </w:rPr>
              <w:t>Regina</w:t>
            </w:r>
          </w:p>
        </w:tc>
        <w:tc>
          <w:tcPr>
            <w:tcW w:w="835" w:type="dxa"/>
          </w:tcPr>
          <w:p w:rsidR="00BB6259" w:rsidRDefault="00BB6259" w:rsidP="00BB6259">
            <w:pPr>
              <w:pStyle w:val="TableText"/>
              <w:rPr>
                <w:lang w:val="en-US"/>
              </w:rPr>
            </w:pPr>
            <w:r>
              <w:rPr>
                <w:lang w:val="en-US"/>
              </w:rPr>
              <w:t>F</w:t>
            </w:r>
          </w:p>
        </w:tc>
        <w:tc>
          <w:tcPr>
            <w:tcW w:w="1134" w:type="dxa"/>
          </w:tcPr>
          <w:p w:rsidR="00BB6259" w:rsidRDefault="00BB6259" w:rsidP="00BB6259">
            <w:pPr>
              <w:pStyle w:val="TableText"/>
            </w:pPr>
            <w:r w:rsidRPr="001510F0">
              <w:rPr>
                <w:lang w:val="en-US"/>
              </w:rPr>
              <w:t>Under 25</w:t>
            </w:r>
          </w:p>
        </w:tc>
        <w:tc>
          <w:tcPr>
            <w:tcW w:w="1843" w:type="dxa"/>
          </w:tcPr>
          <w:p w:rsidR="00BB6259" w:rsidRDefault="00BB6259" w:rsidP="00BB6259">
            <w:pPr>
              <w:pStyle w:val="TableText"/>
              <w:rPr>
                <w:lang w:val="en-US"/>
              </w:rPr>
            </w:pPr>
            <w:r>
              <w:rPr>
                <w:lang w:val="en-US"/>
              </w:rPr>
              <w:t>Remote</w:t>
            </w:r>
          </w:p>
        </w:tc>
        <w:tc>
          <w:tcPr>
            <w:tcW w:w="2559" w:type="dxa"/>
          </w:tcPr>
          <w:p w:rsidR="00BB6259" w:rsidRDefault="00BB6259" w:rsidP="00BB6259">
            <w:pPr>
              <w:pStyle w:val="TableText"/>
              <w:rPr>
                <w:lang w:val="en-US"/>
              </w:rPr>
            </w:pPr>
            <w:r>
              <w:rPr>
                <w:lang w:val="en-US"/>
              </w:rPr>
              <w:t>Rehabilitation, Health and Sports Sciences</w:t>
            </w:r>
          </w:p>
        </w:tc>
        <w:tc>
          <w:tcPr>
            <w:tcW w:w="1500" w:type="dxa"/>
          </w:tcPr>
          <w:p w:rsidR="00BB6259" w:rsidRDefault="00BB6259" w:rsidP="00BB6259">
            <w:pPr>
              <w:pStyle w:val="TableText"/>
            </w:pPr>
            <w:r w:rsidRPr="00CF5952">
              <w:rPr>
                <w:lang w:val="en-US"/>
              </w:rPr>
              <w:t>Relocated</w:t>
            </w:r>
          </w:p>
        </w:tc>
      </w:tr>
      <w:tr w:rsidR="00A60619" w:rsidTr="00A60619">
        <w:tc>
          <w:tcPr>
            <w:tcW w:w="1145" w:type="dxa"/>
          </w:tcPr>
          <w:p w:rsidR="00A60619" w:rsidRDefault="00A60619" w:rsidP="00BB6259">
            <w:pPr>
              <w:pStyle w:val="TableText"/>
              <w:rPr>
                <w:lang w:val="en-US"/>
              </w:rPr>
            </w:pPr>
            <w:r>
              <w:rPr>
                <w:lang w:val="en-US"/>
              </w:rPr>
              <w:t>Matt</w:t>
            </w:r>
          </w:p>
        </w:tc>
        <w:tc>
          <w:tcPr>
            <w:tcW w:w="835" w:type="dxa"/>
          </w:tcPr>
          <w:p w:rsidR="00A60619" w:rsidRDefault="00A60619" w:rsidP="00BB6259">
            <w:pPr>
              <w:pStyle w:val="TableText"/>
              <w:rPr>
                <w:lang w:val="en-US"/>
              </w:rPr>
            </w:pPr>
            <w:r>
              <w:rPr>
                <w:lang w:val="en-US"/>
              </w:rPr>
              <w:t>M</w:t>
            </w:r>
          </w:p>
        </w:tc>
        <w:tc>
          <w:tcPr>
            <w:tcW w:w="1134" w:type="dxa"/>
          </w:tcPr>
          <w:p w:rsidR="00A60619" w:rsidRDefault="00A60619" w:rsidP="00BB6259">
            <w:pPr>
              <w:pStyle w:val="TableText"/>
            </w:pPr>
            <w:r w:rsidRPr="001510F0">
              <w:rPr>
                <w:lang w:val="en-US"/>
              </w:rPr>
              <w:t>Under 25</w:t>
            </w:r>
          </w:p>
        </w:tc>
        <w:tc>
          <w:tcPr>
            <w:tcW w:w="1843" w:type="dxa"/>
          </w:tcPr>
          <w:p w:rsidR="00A60619" w:rsidRDefault="00A60619" w:rsidP="00BB6259">
            <w:pPr>
              <w:pStyle w:val="TableText"/>
              <w:rPr>
                <w:lang w:val="en-US"/>
              </w:rPr>
            </w:pPr>
            <w:r>
              <w:rPr>
                <w:lang w:val="en-US"/>
              </w:rPr>
              <w:t>Very remote</w:t>
            </w:r>
          </w:p>
        </w:tc>
        <w:tc>
          <w:tcPr>
            <w:tcW w:w="2559" w:type="dxa"/>
          </w:tcPr>
          <w:p w:rsidR="00A60619" w:rsidRDefault="00A60619" w:rsidP="00BB6259">
            <w:pPr>
              <w:pStyle w:val="TableText"/>
              <w:rPr>
                <w:lang w:val="en-US"/>
              </w:rPr>
            </w:pPr>
            <w:r>
              <w:rPr>
                <w:lang w:val="en-US"/>
              </w:rPr>
              <w:t>Accounting, Finance and Economics</w:t>
            </w:r>
          </w:p>
        </w:tc>
        <w:tc>
          <w:tcPr>
            <w:tcW w:w="1500" w:type="dxa"/>
          </w:tcPr>
          <w:p w:rsidR="00A60619" w:rsidRDefault="00BB6259" w:rsidP="00BB6259">
            <w:pPr>
              <w:pStyle w:val="TableText"/>
              <w:rPr>
                <w:lang w:val="en-US"/>
              </w:rPr>
            </w:pPr>
            <w:r>
              <w:rPr>
                <w:lang w:val="en-US"/>
              </w:rPr>
              <w:t>Non-relocated</w:t>
            </w:r>
          </w:p>
        </w:tc>
      </w:tr>
      <w:tr w:rsidR="00BB6259" w:rsidTr="00A60619">
        <w:tc>
          <w:tcPr>
            <w:tcW w:w="1145" w:type="dxa"/>
          </w:tcPr>
          <w:p w:rsidR="00BB6259" w:rsidRDefault="00BB6259" w:rsidP="00BB6259">
            <w:pPr>
              <w:pStyle w:val="TableText"/>
              <w:rPr>
                <w:lang w:val="en-US"/>
              </w:rPr>
            </w:pPr>
            <w:r>
              <w:rPr>
                <w:lang w:val="en-US"/>
              </w:rPr>
              <w:t>Karen</w:t>
            </w:r>
          </w:p>
        </w:tc>
        <w:tc>
          <w:tcPr>
            <w:tcW w:w="835" w:type="dxa"/>
          </w:tcPr>
          <w:p w:rsidR="00BB6259" w:rsidRDefault="00BB6259" w:rsidP="00BB6259">
            <w:pPr>
              <w:pStyle w:val="TableText"/>
              <w:rPr>
                <w:lang w:val="en-US"/>
              </w:rPr>
            </w:pPr>
            <w:r>
              <w:rPr>
                <w:lang w:val="en-US"/>
              </w:rPr>
              <w:t>F</w:t>
            </w:r>
          </w:p>
        </w:tc>
        <w:tc>
          <w:tcPr>
            <w:tcW w:w="1134" w:type="dxa"/>
          </w:tcPr>
          <w:p w:rsidR="00BB6259" w:rsidRDefault="00BB6259" w:rsidP="00BB6259">
            <w:pPr>
              <w:pStyle w:val="TableText"/>
            </w:pPr>
            <w:r w:rsidRPr="001510F0">
              <w:rPr>
                <w:lang w:val="en-US"/>
              </w:rPr>
              <w:t>Under 25</w:t>
            </w:r>
          </w:p>
        </w:tc>
        <w:tc>
          <w:tcPr>
            <w:tcW w:w="1843" w:type="dxa"/>
          </w:tcPr>
          <w:p w:rsidR="00BB6259" w:rsidRDefault="00BB6259" w:rsidP="00BB6259">
            <w:pPr>
              <w:pStyle w:val="TableText"/>
              <w:rPr>
                <w:lang w:val="en-US"/>
              </w:rPr>
            </w:pPr>
            <w:r>
              <w:rPr>
                <w:lang w:val="en-US"/>
              </w:rPr>
              <w:t>Remote</w:t>
            </w:r>
          </w:p>
        </w:tc>
        <w:tc>
          <w:tcPr>
            <w:tcW w:w="2559" w:type="dxa"/>
          </w:tcPr>
          <w:p w:rsidR="00BB6259" w:rsidRDefault="00BB6259" w:rsidP="00BB6259">
            <w:pPr>
              <w:pStyle w:val="TableText"/>
              <w:rPr>
                <w:lang w:val="en-US"/>
              </w:rPr>
            </w:pPr>
            <w:r>
              <w:rPr>
                <w:lang w:val="en-US"/>
              </w:rPr>
              <w:t>Art, Architecture and Design</w:t>
            </w:r>
          </w:p>
        </w:tc>
        <w:tc>
          <w:tcPr>
            <w:tcW w:w="1500" w:type="dxa"/>
          </w:tcPr>
          <w:p w:rsidR="00BB6259" w:rsidRDefault="00BB6259" w:rsidP="00BB6259">
            <w:pPr>
              <w:pStyle w:val="TableText"/>
            </w:pPr>
            <w:r w:rsidRPr="00AD7965">
              <w:rPr>
                <w:lang w:val="en-US"/>
              </w:rPr>
              <w:t>Relocated</w:t>
            </w:r>
          </w:p>
        </w:tc>
      </w:tr>
      <w:tr w:rsidR="00BB6259" w:rsidTr="00A60619">
        <w:tc>
          <w:tcPr>
            <w:tcW w:w="1145" w:type="dxa"/>
          </w:tcPr>
          <w:p w:rsidR="00BB6259" w:rsidRDefault="00BB6259" w:rsidP="00BB6259">
            <w:pPr>
              <w:pStyle w:val="TableText"/>
              <w:rPr>
                <w:lang w:val="en-US"/>
              </w:rPr>
            </w:pPr>
            <w:r>
              <w:rPr>
                <w:lang w:val="en-US"/>
              </w:rPr>
              <w:t>Daniel</w:t>
            </w:r>
          </w:p>
        </w:tc>
        <w:tc>
          <w:tcPr>
            <w:tcW w:w="835" w:type="dxa"/>
          </w:tcPr>
          <w:p w:rsidR="00BB6259" w:rsidRDefault="00BB6259" w:rsidP="00BB6259">
            <w:pPr>
              <w:pStyle w:val="TableText"/>
              <w:rPr>
                <w:lang w:val="en-US"/>
              </w:rPr>
            </w:pPr>
            <w:r>
              <w:rPr>
                <w:lang w:val="en-US"/>
              </w:rPr>
              <w:t>M</w:t>
            </w:r>
          </w:p>
        </w:tc>
        <w:tc>
          <w:tcPr>
            <w:tcW w:w="1134" w:type="dxa"/>
          </w:tcPr>
          <w:p w:rsidR="00BB6259" w:rsidRDefault="00BB6259" w:rsidP="00BB6259">
            <w:pPr>
              <w:pStyle w:val="TableText"/>
            </w:pPr>
            <w:r w:rsidRPr="001510F0">
              <w:rPr>
                <w:lang w:val="en-US"/>
              </w:rPr>
              <w:t>Under 25</w:t>
            </w:r>
          </w:p>
        </w:tc>
        <w:tc>
          <w:tcPr>
            <w:tcW w:w="1843" w:type="dxa"/>
          </w:tcPr>
          <w:p w:rsidR="00BB6259" w:rsidRDefault="00BB6259" w:rsidP="00BB6259">
            <w:pPr>
              <w:pStyle w:val="TableText"/>
              <w:rPr>
                <w:lang w:val="en-US"/>
              </w:rPr>
            </w:pPr>
            <w:r>
              <w:rPr>
                <w:lang w:val="en-US"/>
              </w:rPr>
              <w:t>Outer regional</w:t>
            </w:r>
          </w:p>
        </w:tc>
        <w:tc>
          <w:tcPr>
            <w:tcW w:w="2559" w:type="dxa"/>
          </w:tcPr>
          <w:p w:rsidR="00BB6259" w:rsidRDefault="00BB6259" w:rsidP="00BB6259">
            <w:pPr>
              <w:pStyle w:val="TableText"/>
              <w:rPr>
                <w:lang w:val="en-US"/>
              </w:rPr>
            </w:pPr>
            <w:r>
              <w:rPr>
                <w:lang w:val="en-US"/>
              </w:rPr>
              <w:t>Engineering</w:t>
            </w:r>
          </w:p>
        </w:tc>
        <w:tc>
          <w:tcPr>
            <w:tcW w:w="1500" w:type="dxa"/>
          </w:tcPr>
          <w:p w:rsidR="00BB6259" w:rsidRDefault="00BB6259" w:rsidP="00BB6259">
            <w:pPr>
              <w:pStyle w:val="TableText"/>
            </w:pPr>
            <w:r w:rsidRPr="00AD7965">
              <w:rPr>
                <w:lang w:val="en-US"/>
              </w:rPr>
              <w:t>Relocated</w:t>
            </w:r>
          </w:p>
        </w:tc>
      </w:tr>
      <w:tr w:rsidR="00BB6259" w:rsidTr="00A60619">
        <w:tc>
          <w:tcPr>
            <w:tcW w:w="1145" w:type="dxa"/>
          </w:tcPr>
          <w:p w:rsidR="00BB6259" w:rsidRDefault="00BB6259" w:rsidP="00BB6259">
            <w:pPr>
              <w:pStyle w:val="TableText"/>
              <w:rPr>
                <w:lang w:val="en-US"/>
              </w:rPr>
            </w:pPr>
            <w:r>
              <w:rPr>
                <w:lang w:val="en-US"/>
              </w:rPr>
              <w:t>Megan</w:t>
            </w:r>
          </w:p>
        </w:tc>
        <w:tc>
          <w:tcPr>
            <w:tcW w:w="835" w:type="dxa"/>
          </w:tcPr>
          <w:p w:rsidR="00BB6259" w:rsidRDefault="00BB6259" w:rsidP="00BB6259">
            <w:pPr>
              <w:pStyle w:val="TableText"/>
              <w:rPr>
                <w:lang w:val="en-US"/>
              </w:rPr>
            </w:pPr>
            <w:r>
              <w:rPr>
                <w:lang w:val="en-US"/>
              </w:rPr>
              <w:t>F</w:t>
            </w:r>
          </w:p>
        </w:tc>
        <w:tc>
          <w:tcPr>
            <w:tcW w:w="1134" w:type="dxa"/>
          </w:tcPr>
          <w:p w:rsidR="00BB6259" w:rsidRDefault="00BB6259" w:rsidP="00BB6259">
            <w:pPr>
              <w:pStyle w:val="TableText"/>
            </w:pPr>
            <w:r w:rsidRPr="001510F0">
              <w:rPr>
                <w:lang w:val="en-US"/>
              </w:rPr>
              <w:t>Under 25</w:t>
            </w:r>
          </w:p>
        </w:tc>
        <w:tc>
          <w:tcPr>
            <w:tcW w:w="1843" w:type="dxa"/>
          </w:tcPr>
          <w:p w:rsidR="00BB6259" w:rsidRDefault="00BB6259" w:rsidP="00BB6259">
            <w:pPr>
              <w:pStyle w:val="TableText"/>
              <w:rPr>
                <w:lang w:val="en-US"/>
              </w:rPr>
            </w:pPr>
            <w:r>
              <w:rPr>
                <w:lang w:val="en-US"/>
              </w:rPr>
              <w:t>Outer regional</w:t>
            </w:r>
          </w:p>
        </w:tc>
        <w:tc>
          <w:tcPr>
            <w:tcW w:w="2559" w:type="dxa"/>
          </w:tcPr>
          <w:p w:rsidR="00BB6259" w:rsidRDefault="00BB6259" w:rsidP="00BB6259">
            <w:pPr>
              <w:pStyle w:val="TableText"/>
              <w:rPr>
                <w:lang w:val="en-US"/>
              </w:rPr>
            </w:pPr>
            <w:r>
              <w:rPr>
                <w:lang w:val="en-US"/>
              </w:rPr>
              <w:t>Education</w:t>
            </w:r>
          </w:p>
        </w:tc>
        <w:tc>
          <w:tcPr>
            <w:tcW w:w="1500" w:type="dxa"/>
          </w:tcPr>
          <w:p w:rsidR="00BB6259" w:rsidRDefault="00BB6259" w:rsidP="00BB6259">
            <w:pPr>
              <w:pStyle w:val="TableText"/>
            </w:pPr>
            <w:r w:rsidRPr="00AD7965">
              <w:rPr>
                <w:lang w:val="en-US"/>
              </w:rPr>
              <w:t>Relocated</w:t>
            </w:r>
          </w:p>
        </w:tc>
      </w:tr>
      <w:tr w:rsidR="00A60619" w:rsidTr="00A60619">
        <w:tc>
          <w:tcPr>
            <w:tcW w:w="1145" w:type="dxa"/>
          </w:tcPr>
          <w:p w:rsidR="00A60619" w:rsidRDefault="00A60619" w:rsidP="00BB6259">
            <w:pPr>
              <w:pStyle w:val="TableText"/>
              <w:rPr>
                <w:lang w:val="en-US"/>
              </w:rPr>
            </w:pPr>
            <w:r>
              <w:rPr>
                <w:lang w:val="en-US"/>
              </w:rPr>
              <w:t>Thomas</w:t>
            </w:r>
          </w:p>
        </w:tc>
        <w:tc>
          <w:tcPr>
            <w:tcW w:w="835" w:type="dxa"/>
          </w:tcPr>
          <w:p w:rsidR="00A60619" w:rsidRDefault="00A60619" w:rsidP="00BB6259">
            <w:pPr>
              <w:pStyle w:val="TableText"/>
              <w:rPr>
                <w:lang w:val="en-US"/>
              </w:rPr>
            </w:pPr>
            <w:r>
              <w:rPr>
                <w:lang w:val="en-US"/>
              </w:rPr>
              <w:t>M</w:t>
            </w:r>
          </w:p>
        </w:tc>
        <w:tc>
          <w:tcPr>
            <w:tcW w:w="1134" w:type="dxa"/>
          </w:tcPr>
          <w:p w:rsidR="00A60619" w:rsidRDefault="00A60619" w:rsidP="00BB6259">
            <w:pPr>
              <w:pStyle w:val="TableText"/>
            </w:pPr>
            <w:r w:rsidRPr="001510F0">
              <w:rPr>
                <w:lang w:val="en-US"/>
              </w:rPr>
              <w:t>Under 25</w:t>
            </w:r>
          </w:p>
        </w:tc>
        <w:tc>
          <w:tcPr>
            <w:tcW w:w="1843" w:type="dxa"/>
          </w:tcPr>
          <w:p w:rsidR="00A60619" w:rsidRDefault="00A60619" w:rsidP="00BB6259">
            <w:pPr>
              <w:pStyle w:val="TableText"/>
              <w:rPr>
                <w:lang w:val="en-US"/>
              </w:rPr>
            </w:pPr>
            <w:r>
              <w:rPr>
                <w:lang w:val="en-US"/>
              </w:rPr>
              <w:t>Outer regional</w:t>
            </w:r>
          </w:p>
        </w:tc>
        <w:tc>
          <w:tcPr>
            <w:tcW w:w="2559" w:type="dxa"/>
          </w:tcPr>
          <w:p w:rsidR="00A60619" w:rsidRDefault="00A60619" w:rsidP="00BB6259">
            <w:pPr>
              <w:pStyle w:val="TableText"/>
              <w:rPr>
                <w:lang w:val="en-US"/>
              </w:rPr>
            </w:pPr>
            <w:r>
              <w:rPr>
                <w:lang w:val="en-US"/>
              </w:rPr>
              <w:t>Psychology, Social Work and Human Services</w:t>
            </w:r>
          </w:p>
        </w:tc>
        <w:tc>
          <w:tcPr>
            <w:tcW w:w="1500" w:type="dxa"/>
          </w:tcPr>
          <w:p w:rsidR="00A60619" w:rsidRDefault="00BB6259" w:rsidP="00BB6259">
            <w:pPr>
              <w:pStyle w:val="TableText"/>
              <w:rPr>
                <w:lang w:val="en-US"/>
              </w:rPr>
            </w:pPr>
            <w:r>
              <w:rPr>
                <w:lang w:val="en-US"/>
              </w:rPr>
              <w:t>Non-relocated</w:t>
            </w:r>
          </w:p>
        </w:tc>
      </w:tr>
      <w:tr w:rsidR="00A60619" w:rsidTr="00A60619">
        <w:tc>
          <w:tcPr>
            <w:tcW w:w="1145" w:type="dxa"/>
          </w:tcPr>
          <w:p w:rsidR="00A60619" w:rsidRDefault="00A60619" w:rsidP="00BB6259">
            <w:pPr>
              <w:pStyle w:val="TableText"/>
              <w:rPr>
                <w:lang w:val="en-US"/>
              </w:rPr>
            </w:pPr>
            <w:r>
              <w:rPr>
                <w:lang w:val="en-US"/>
              </w:rPr>
              <w:t>Jenna</w:t>
            </w:r>
          </w:p>
        </w:tc>
        <w:tc>
          <w:tcPr>
            <w:tcW w:w="835" w:type="dxa"/>
          </w:tcPr>
          <w:p w:rsidR="00A60619" w:rsidRDefault="00A60619" w:rsidP="00BB6259">
            <w:pPr>
              <w:pStyle w:val="TableText"/>
              <w:rPr>
                <w:lang w:val="en-US"/>
              </w:rPr>
            </w:pPr>
            <w:r>
              <w:rPr>
                <w:lang w:val="en-US"/>
              </w:rPr>
              <w:t>F</w:t>
            </w:r>
          </w:p>
        </w:tc>
        <w:tc>
          <w:tcPr>
            <w:tcW w:w="1134" w:type="dxa"/>
          </w:tcPr>
          <w:p w:rsidR="00A60619" w:rsidRDefault="00A60619" w:rsidP="00BB6259">
            <w:pPr>
              <w:pStyle w:val="TableText"/>
            </w:pPr>
            <w:r w:rsidRPr="001510F0">
              <w:rPr>
                <w:lang w:val="en-US"/>
              </w:rPr>
              <w:t>Under 25</w:t>
            </w:r>
          </w:p>
        </w:tc>
        <w:tc>
          <w:tcPr>
            <w:tcW w:w="1843" w:type="dxa"/>
          </w:tcPr>
          <w:p w:rsidR="00A60619" w:rsidRDefault="00A60619" w:rsidP="00BB6259">
            <w:pPr>
              <w:pStyle w:val="TableText"/>
              <w:rPr>
                <w:lang w:val="en-US"/>
              </w:rPr>
            </w:pPr>
            <w:r>
              <w:rPr>
                <w:lang w:val="en-US"/>
              </w:rPr>
              <w:t>Outer regional</w:t>
            </w:r>
          </w:p>
        </w:tc>
        <w:tc>
          <w:tcPr>
            <w:tcW w:w="2559" w:type="dxa"/>
          </w:tcPr>
          <w:p w:rsidR="00A60619" w:rsidRDefault="00A60619" w:rsidP="00BB6259">
            <w:pPr>
              <w:pStyle w:val="TableText"/>
              <w:rPr>
                <w:lang w:val="en-US"/>
              </w:rPr>
            </w:pPr>
            <w:r>
              <w:rPr>
                <w:lang w:val="en-US"/>
              </w:rPr>
              <w:t>Nursing and Midwifery</w:t>
            </w:r>
          </w:p>
        </w:tc>
        <w:tc>
          <w:tcPr>
            <w:tcW w:w="1500" w:type="dxa"/>
          </w:tcPr>
          <w:p w:rsidR="00A60619" w:rsidRDefault="00BB6259" w:rsidP="00BB6259">
            <w:pPr>
              <w:pStyle w:val="TableText"/>
              <w:rPr>
                <w:lang w:val="en-US"/>
              </w:rPr>
            </w:pPr>
            <w:r>
              <w:rPr>
                <w:lang w:val="en-US"/>
              </w:rPr>
              <w:t>Relocated</w:t>
            </w:r>
          </w:p>
        </w:tc>
      </w:tr>
    </w:tbl>
    <w:p w:rsidR="002C135A" w:rsidRPr="00B00AA1" w:rsidRDefault="002C135A" w:rsidP="007A5AE6">
      <w:pPr>
        <w:rPr>
          <w:lang w:val="en-US"/>
        </w:rPr>
      </w:pPr>
    </w:p>
    <w:sectPr w:rsidR="002C135A" w:rsidRPr="00B00AA1" w:rsidSect="0016679B">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135A" w:rsidRDefault="002C135A" w:rsidP="003E54B0">
      <w:pPr>
        <w:spacing w:after="0"/>
      </w:pPr>
      <w:r>
        <w:separator/>
      </w:r>
    </w:p>
  </w:endnote>
  <w:endnote w:type="continuationSeparator" w:id="0">
    <w:p w:rsidR="002C135A" w:rsidRDefault="002C135A" w:rsidP="003E54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521B407E-2A8C-4496-965F-FBA160637A0A}"/>
  </w:font>
  <w:font w:name="Times New Roman">
    <w:panose1 w:val="02020603050405020304"/>
    <w:charset w:val="00"/>
    <w:family w:val="roman"/>
    <w:pitch w:val="variable"/>
    <w:sig w:usb0="E0002AFF" w:usb1="C0007841" w:usb2="00000009" w:usb3="00000000" w:csb0="000001FF" w:csb1="00000000"/>
    <w:embedRegular r:id="rId2" w:fontKey="{4B8EFF4D-8362-4C81-B973-ED994C6C35CB}"/>
    <w:embedBold r:id="rId3" w:fontKey="{9A057A53-C84D-4C64-9AC0-6B3C4BB44AEB}"/>
    <w:embedItalic r:id="rId4" w:fontKey="{D297898F-FDA6-4035-A82A-13B2F581C7E1}"/>
    <w:embedBoldItalic r:id="rId5" w:fontKey="{5A60B6BE-942B-4C7B-BED8-7383AD5332EF}"/>
  </w:font>
  <w:font w:name="Courier New">
    <w:panose1 w:val="02070309020205020404"/>
    <w:charset w:val="00"/>
    <w:family w:val="modern"/>
    <w:pitch w:val="fixed"/>
    <w:sig w:usb0="E0002AFF" w:usb1="C0007843" w:usb2="00000009" w:usb3="00000000" w:csb0="000001FF" w:csb1="00000000"/>
    <w:embedRegular r:id="rId6" w:fontKey="{63320C35-DA43-462B-BA42-B84E5856EF44}"/>
  </w:font>
  <w:font w:name="Wingdings">
    <w:panose1 w:val="05000000000000000000"/>
    <w:charset w:val="02"/>
    <w:family w:val="auto"/>
    <w:pitch w:val="variable"/>
    <w:sig w:usb0="00000000" w:usb1="10000000" w:usb2="00000000" w:usb3="00000000" w:csb0="80000000" w:csb1="00000000"/>
    <w:embedRegular r:id="rId7" w:fontKey="{526B137B-9303-475A-810A-D41619BA5BBE}"/>
  </w:font>
  <w:font w:name="Calibri">
    <w:panose1 w:val="020F0502020204030204"/>
    <w:charset w:val="00"/>
    <w:family w:val="swiss"/>
    <w:pitch w:val="variable"/>
    <w:sig w:usb0="E00002FF" w:usb1="4000ACFF" w:usb2="00000001" w:usb3="00000000" w:csb0="0000019F" w:csb1="00000000"/>
    <w:embedRegular r:id="rId8" w:fontKey="{FBE3B4D3-76B6-435B-B7B2-06D0FEFBB003}"/>
    <w:embedBold r:id="rId9" w:fontKey="{46BA7F97-DA8F-4AE9-8BE1-8A2167077E25}"/>
    <w:embedItalic r:id="rId10" w:fontKey="{91587913-DE4F-4097-9A9E-37F050149B0C}"/>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embedRegular r:id="rId11" w:fontKey="{B3BCEEB9-8D8F-4354-B1CE-EED889395CBF}"/>
    <w:embedBold r:id="rId12" w:fontKey="{CC1F2739-6073-47A9-9F48-124FE2ECC4A9}"/>
  </w:font>
  <w:font w:name="Segoe UI">
    <w:panose1 w:val="020B0502040204020203"/>
    <w:charset w:val="00"/>
    <w:family w:val="swiss"/>
    <w:pitch w:val="variable"/>
    <w:sig w:usb0="E10022FF" w:usb1="C000E47F" w:usb2="00000029" w:usb3="00000000" w:csb0="000001DF" w:csb1="00000000"/>
    <w:embedRegular r:id="rId13" w:fontKey="{CF13D83B-12AB-4F85-AEFC-13141C71821A}"/>
  </w:font>
  <w:font w:name="Arial">
    <w:panose1 w:val="020B0604020202020204"/>
    <w:charset w:val="00"/>
    <w:family w:val="swiss"/>
    <w:pitch w:val="variable"/>
    <w:sig w:usb0="E0002AFF" w:usb1="C0007843" w:usb2="00000009" w:usb3="00000000" w:csb0="000001FF" w:csb1="00000000"/>
    <w:embedRegular r:id="rId14" w:fontKey="{353FF5F2-AA12-4F1E-BF99-E3191135DB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35A" w:rsidRDefault="002C135A" w:rsidP="00AE5978">
    <w:pPr>
      <w:pStyle w:val="Footers"/>
    </w:pPr>
    <w:r>
      <w:t>Nagy, Lee and Graham</w:t>
    </w:r>
    <w:r>
      <w:tab/>
    </w:r>
    <w:r>
      <w:tab/>
    </w:r>
    <w:r>
      <w:tab/>
    </w:r>
    <w:r>
      <w:tab/>
    </w:r>
    <w:r>
      <w:tab/>
    </w:r>
    <w:r>
      <w:tab/>
    </w:r>
    <w:r>
      <w:tab/>
    </w:r>
    <w:r>
      <w:tab/>
    </w:r>
    <w:r>
      <w:tab/>
    </w:r>
    <w:r>
      <w:tab/>
      <w:t xml:space="preserve"> </w:t>
    </w:r>
    <w:r>
      <w:fldChar w:fldCharType="begin"/>
    </w:r>
    <w:r>
      <w:instrText xml:space="preserve"> PAGE   \* MERGEFORMAT </w:instrText>
    </w:r>
    <w:r>
      <w:fldChar w:fldCharType="separate"/>
    </w:r>
    <w:r w:rsidR="0033032C">
      <w:rPr>
        <w:noProof/>
      </w:rPr>
      <w:t>38</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35A" w:rsidRDefault="002C135A" w:rsidP="00AE5978">
    <w:pPr>
      <w:pStyle w:val="Footers"/>
    </w:pPr>
    <w:r>
      <w:t>Nagy, Lee and Graham</w:t>
    </w:r>
    <w:r>
      <w:tab/>
    </w:r>
    <w:r>
      <w:tab/>
    </w:r>
    <w:r>
      <w:tab/>
    </w:r>
    <w:r>
      <w:tab/>
    </w:r>
    <w:r>
      <w:tab/>
    </w:r>
    <w:r>
      <w:tab/>
    </w:r>
    <w:r>
      <w:tab/>
    </w:r>
    <w:r>
      <w:tab/>
    </w:r>
    <w:r>
      <w:tab/>
    </w:r>
    <w:r>
      <w:tab/>
    </w:r>
    <w:r>
      <w:tab/>
    </w:r>
    <w:r>
      <w:tab/>
    </w:r>
    <w:r>
      <w:tab/>
    </w:r>
    <w:r>
      <w:tab/>
    </w:r>
    <w:r>
      <w:tab/>
    </w:r>
    <w:r>
      <w:tab/>
    </w:r>
    <w:r>
      <w:tab/>
      <w:t xml:space="preserve"> </w:t>
    </w:r>
    <w:r>
      <w:fldChar w:fldCharType="begin"/>
    </w:r>
    <w:r>
      <w:instrText xml:space="preserve"> PAGE   \* MERGEFORMAT </w:instrText>
    </w:r>
    <w:r>
      <w:fldChar w:fldCharType="separate"/>
    </w:r>
    <w:r w:rsidR="0033032C">
      <w:rPr>
        <w:noProof/>
      </w:rPr>
      <w:t>39</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35A" w:rsidRDefault="002C135A" w:rsidP="00AC3E00">
    <w:pPr>
      <w:pStyle w:val="Footers"/>
    </w:pPr>
    <w:r>
      <w:t>Nagy, Lee and Graham</w:t>
    </w:r>
    <w:r>
      <w:tab/>
    </w:r>
    <w:r>
      <w:tab/>
    </w:r>
    <w:r>
      <w:tab/>
    </w:r>
    <w:r>
      <w:tab/>
    </w:r>
    <w:r>
      <w:tab/>
    </w:r>
    <w:r>
      <w:tab/>
    </w:r>
    <w:r>
      <w:tab/>
    </w:r>
    <w:r>
      <w:tab/>
    </w:r>
    <w:r>
      <w:tab/>
    </w:r>
    <w:r>
      <w:tab/>
      <w:t xml:space="preserve"> </w:t>
    </w:r>
    <w:r>
      <w:fldChar w:fldCharType="begin"/>
    </w:r>
    <w:r>
      <w:instrText xml:space="preserve"> PAGE   \* MERGEFORMAT </w:instrText>
    </w:r>
    <w:r>
      <w:fldChar w:fldCharType="separate"/>
    </w:r>
    <w:r w:rsidR="0033032C">
      <w:rPr>
        <w:noProof/>
      </w:rPr>
      <w:t>74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135A" w:rsidRDefault="002C135A" w:rsidP="003E54B0">
      <w:pPr>
        <w:spacing w:after="0"/>
      </w:pPr>
      <w:r>
        <w:separator/>
      </w:r>
    </w:p>
  </w:footnote>
  <w:footnote w:type="continuationSeparator" w:id="0">
    <w:p w:rsidR="002C135A" w:rsidRDefault="002C135A" w:rsidP="003E54B0">
      <w:pPr>
        <w:spacing w:after="0"/>
      </w:pPr>
      <w:r>
        <w:continuationSeparator/>
      </w:r>
    </w:p>
  </w:footnote>
  <w:footnote w:id="1">
    <w:p w:rsidR="002C135A" w:rsidRDefault="002C135A">
      <w:pPr>
        <w:pStyle w:val="FootnoteText"/>
      </w:pPr>
      <w:r>
        <w:rPr>
          <w:rStyle w:val="FootnoteReference"/>
        </w:rPr>
        <w:footnoteRef/>
      </w:r>
      <w:r>
        <w:t xml:space="preserve"> </w:t>
      </w:r>
      <w:r w:rsidRPr="00E82F18">
        <w:t>Using DIISRTE analysis of 2011 census data using the MCEETYA definition of regionality in the Kemp &amp; Norton Review 2014, Table 18.</w:t>
      </w:r>
    </w:p>
  </w:footnote>
  <w:footnote w:id="2">
    <w:p w:rsidR="002C135A" w:rsidRDefault="002C135A">
      <w:pPr>
        <w:pStyle w:val="FootnoteText"/>
      </w:pPr>
      <w:r>
        <w:rPr>
          <w:rStyle w:val="FootnoteReference"/>
        </w:rPr>
        <w:footnoteRef/>
      </w:r>
      <w:r>
        <w:t xml:space="preserve"> </w:t>
      </w:r>
      <w:r w:rsidRPr="00916389">
        <w:t>Previously the Australian Vice Chancellors’ Committee (AVCC).</w:t>
      </w:r>
    </w:p>
  </w:footnote>
  <w:footnote w:id="3">
    <w:p w:rsidR="002C135A" w:rsidRDefault="002C135A">
      <w:pPr>
        <w:pStyle w:val="FootnoteText"/>
      </w:pPr>
      <w:r>
        <w:rPr>
          <w:rStyle w:val="FootnoteReference"/>
        </w:rPr>
        <w:footnoteRef/>
      </w:r>
      <w:r>
        <w:t xml:space="preserve"> </w:t>
      </w:r>
      <w:r w:rsidRPr="00862133">
        <w:t>Social Security Act 2015 (Commonwealth)</w:t>
      </w:r>
      <w:r>
        <w:t>.</w:t>
      </w:r>
    </w:p>
  </w:footnote>
  <w:footnote w:id="4">
    <w:p w:rsidR="002C135A" w:rsidRDefault="002C135A">
      <w:pPr>
        <w:pStyle w:val="FootnoteText"/>
      </w:pPr>
      <w:r>
        <w:rPr>
          <w:rStyle w:val="FootnoteReference"/>
        </w:rPr>
        <w:footnoteRef/>
      </w:r>
      <w:r>
        <w:t xml:space="preserve"> </w:t>
      </w:r>
      <w:r w:rsidRPr="005E4F6E">
        <w:t>Where respondents did not provide their regional postcode to enable their ASGS classification to be determined, students were able to be confirmed as regional based on survey responses and comments.</w:t>
      </w:r>
    </w:p>
  </w:footnote>
  <w:footnote w:id="5">
    <w:p w:rsidR="002C135A" w:rsidRDefault="002C135A">
      <w:pPr>
        <w:pStyle w:val="FootnoteText"/>
      </w:pPr>
      <w:r>
        <w:rPr>
          <w:rStyle w:val="FootnoteReference"/>
        </w:rPr>
        <w:footnoteRef/>
      </w:r>
      <w:r>
        <w:t xml:space="preserve"> </w:t>
      </w:r>
      <w:r w:rsidRPr="00D20EB6">
        <w:t>Includes respondents doing mixed mode.</w:t>
      </w:r>
    </w:p>
  </w:footnote>
  <w:footnote w:id="6">
    <w:p w:rsidR="002C135A" w:rsidRDefault="002C135A">
      <w:pPr>
        <w:pStyle w:val="FootnoteText"/>
      </w:pPr>
      <w:r>
        <w:rPr>
          <w:rStyle w:val="FootnoteReference"/>
        </w:rPr>
        <w:footnoteRef/>
      </w:r>
      <w:r>
        <w:t xml:space="preserve"> </w:t>
      </w:r>
      <w:r w:rsidRPr="00F66CD5">
        <w:t>Social Services Legislation Amendment (More Generous Means Testing for Youth Payments) Bill 2015</w:t>
      </w:r>
      <w:r>
        <w:t>.</w:t>
      </w:r>
    </w:p>
  </w:footnote>
  <w:footnote w:id="7">
    <w:p w:rsidR="002C135A" w:rsidRDefault="002C135A">
      <w:pPr>
        <w:pStyle w:val="FootnoteText"/>
      </w:pPr>
      <w:r>
        <w:rPr>
          <w:rStyle w:val="FootnoteReference"/>
        </w:rPr>
        <w:footnoteRef/>
      </w:r>
      <w:r>
        <w:t xml:space="preserve"> Previously the Australian Vice Chancellors’ Committee (AVCC)</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91978"/>
    <w:multiLevelType w:val="hybridMultilevel"/>
    <w:tmpl w:val="920EB778"/>
    <w:lvl w:ilvl="0" w:tplc="2D009C9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9A202B"/>
    <w:multiLevelType w:val="hybridMultilevel"/>
    <w:tmpl w:val="8078E6D8"/>
    <w:lvl w:ilvl="0" w:tplc="867E3788">
      <w:numFmt w:val="bullet"/>
      <w:lvlText w:val=""/>
      <w:lvlJc w:val="left"/>
      <w:pPr>
        <w:ind w:left="743" w:hanging="360"/>
      </w:pPr>
      <w:rPr>
        <w:rFonts w:ascii="Symbol" w:eastAsia="Symbol" w:hAnsi="Symbol" w:cs="Symbol" w:hint="default"/>
        <w:color w:val="313D4F"/>
        <w:w w:val="100"/>
        <w:sz w:val="22"/>
        <w:szCs w:val="22"/>
        <w:lang w:val="en-AU" w:eastAsia="en-AU" w:bidi="en-AU"/>
      </w:rPr>
    </w:lvl>
    <w:lvl w:ilvl="1" w:tplc="B51A2D76">
      <w:numFmt w:val="bullet"/>
      <w:lvlText w:val="•"/>
      <w:lvlJc w:val="left"/>
      <w:pPr>
        <w:ind w:left="1403" w:hanging="360"/>
      </w:pPr>
      <w:rPr>
        <w:rFonts w:hint="default"/>
        <w:lang w:val="en-AU" w:eastAsia="en-AU" w:bidi="en-AU"/>
      </w:rPr>
    </w:lvl>
    <w:lvl w:ilvl="2" w:tplc="747655F4">
      <w:numFmt w:val="bullet"/>
      <w:lvlText w:val="•"/>
      <w:lvlJc w:val="left"/>
      <w:pPr>
        <w:ind w:left="2066" w:hanging="360"/>
      </w:pPr>
      <w:rPr>
        <w:rFonts w:hint="default"/>
        <w:lang w:val="en-AU" w:eastAsia="en-AU" w:bidi="en-AU"/>
      </w:rPr>
    </w:lvl>
    <w:lvl w:ilvl="3" w:tplc="C964A2AC">
      <w:numFmt w:val="bullet"/>
      <w:lvlText w:val="•"/>
      <w:lvlJc w:val="left"/>
      <w:pPr>
        <w:ind w:left="2729" w:hanging="360"/>
      </w:pPr>
      <w:rPr>
        <w:rFonts w:hint="default"/>
        <w:lang w:val="en-AU" w:eastAsia="en-AU" w:bidi="en-AU"/>
      </w:rPr>
    </w:lvl>
    <w:lvl w:ilvl="4" w:tplc="46DCCA02">
      <w:numFmt w:val="bullet"/>
      <w:lvlText w:val="•"/>
      <w:lvlJc w:val="left"/>
      <w:pPr>
        <w:ind w:left="3392" w:hanging="360"/>
      </w:pPr>
      <w:rPr>
        <w:rFonts w:hint="default"/>
        <w:lang w:val="en-AU" w:eastAsia="en-AU" w:bidi="en-AU"/>
      </w:rPr>
    </w:lvl>
    <w:lvl w:ilvl="5" w:tplc="3EF21CF4">
      <w:numFmt w:val="bullet"/>
      <w:lvlText w:val="•"/>
      <w:lvlJc w:val="left"/>
      <w:pPr>
        <w:ind w:left="4055" w:hanging="360"/>
      </w:pPr>
      <w:rPr>
        <w:rFonts w:hint="default"/>
        <w:lang w:val="en-AU" w:eastAsia="en-AU" w:bidi="en-AU"/>
      </w:rPr>
    </w:lvl>
    <w:lvl w:ilvl="6" w:tplc="04744F94">
      <w:numFmt w:val="bullet"/>
      <w:lvlText w:val="•"/>
      <w:lvlJc w:val="left"/>
      <w:pPr>
        <w:ind w:left="4718" w:hanging="360"/>
      </w:pPr>
      <w:rPr>
        <w:rFonts w:hint="default"/>
        <w:lang w:val="en-AU" w:eastAsia="en-AU" w:bidi="en-AU"/>
      </w:rPr>
    </w:lvl>
    <w:lvl w:ilvl="7" w:tplc="481828D4">
      <w:numFmt w:val="bullet"/>
      <w:lvlText w:val="•"/>
      <w:lvlJc w:val="left"/>
      <w:pPr>
        <w:ind w:left="5381" w:hanging="360"/>
      </w:pPr>
      <w:rPr>
        <w:rFonts w:hint="default"/>
        <w:lang w:val="en-AU" w:eastAsia="en-AU" w:bidi="en-AU"/>
      </w:rPr>
    </w:lvl>
    <w:lvl w:ilvl="8" w:tplc="92F086C2">
      <w:numFmt w:val="bullet"/>
      <w:lvlText w:val="•"/>
      <w:lvlJc w:val="left"/>
      <w:pPr>
        <w:ind w:left="6044" w:hanging="360"/>
      </w:pPr>
      <w:rPr>
        <w:rFonts w:hint="default"/>
        <w:lang w:val="en-AU" w:eastAsia="en-AU" w:bidi="en-AU"/>
      </w:rPr>
    </w:lvl>
  </w:abstractNum>
  <w:abstractNum w:abstractNumId="2" w15:restartNumberingAfterBreak="0">
    <w:nsid w:val="01A84107"/>
    <w:multiLevelType w:val="hybridMultilevel"/>
    <w:tmpl w:val="CDD88450"/>
    <w:lvl w:ilvl="0" w:tplc="65A8483C">
      <w:start w:val="1"/>
      <w:numFmt w:val="decimal"/>
      <w:lvlText w:val="%1."/>
      <w:lvlJc w:val="left"/>
      <w:pPr>
        <w:ind w:left="830" w:hanging="363"/>
      </w:pPr>
      <w:rPr>
        <w:rFonts w:ascii="Calibri" w:eastAsia="Calibri" w:hAnsi="Calibri" w:cs="Calibri" w:hint="default"/>
        <w:w w:val="100"/>
        <w:sz w:val="22"/>
        <w:szCs w:val="22"/>
        <w:lang w:val="en-AU" w:eastAsia="en-AU" w:bidi="en-AU"/>
      </w:rPr>
    </w:lvl>
    <w:lvl w:ilvl="1" w:tplc="B846FE5E">
      <w:numFmt w:val="bullet"/>
      <w:lvlText w:val="•"/>
      <w:lvlJc w:val="left"/>
      <w:pPr>
        <w:ind w:left="1659" w:hanging="363"/>
      </w:pPr>
      <w:rPr>
        <w:rFonts w:hint="default"/>
        <w:lang w:val="en-AU" w:eastAsia="en-AU" w:bidi="en-AU"/>
      </w:rPr>
    </w:lvl>
    <w:lvl w:ilvl="2" w:tplc="0DD4F1B0">
      <w:numFmt w:val="bullet"/>
      <w:lvlText w:val="•"/>
      <w:lvlJc w:val="left"/>
      <w:pPr>
        <w:ind w:left="2479" w:hanging="363"/>
      </w:pPr>
      <w:rPr>
        <w:rFonts w:hint="default"/>
        <w:lang w:val="en-AU" w:eastAsia="en-AU" w:bidi="en-AU"/>
      </w:rPr>
    </w:lvl>
    <w:lvl w:ilvl="3" w:tplc="B768C9C4">
      <w:numFmt w:val="bullet"/>
      <w:lvlText w:val="•"/>
      <w:lvlJc w:val="left"/>
      <w:pPr>
        <w:ind w:left="3298" w:hanging="363"/>
      </w:pPr>
      <w:rPr>
        <w:rFonts w:hint="default"/>
        <w:lang w:val="en-AU" w:eastAsia="en-AU" w:bidi="en-AU"/>
      </w:rPr>
    </w:lvl>
    <w:lvl w:ilvl="4" w:tplc="E0A80A88">
      <w:numFmt w:val="bullet"/>
      <w:lvlText w:val="•"/>
      <w:lvlJc w:val="left"/>
      <w:pPr>
        <w:ind w:left="4118" w:hanging="363"/>
      </w:pPr>
      <w:rPr>
        <w:rFonts w:hint="default"/>
        <w:lang w:val="en-AU" w:eastAsia="en-AU" w:bidi="en-AU"/>
      </w:rPr>
    </w:lvl>
    <w:lvl w:ilvl="5" w:tplc="633A2EFC">
      <w:numFmt w:val="bullet"/>
      <w:lvlText w:val="•"/>
      <w:lvlJc w:val="left"/>
      <w:pPr>
        <w:ind w:left="4938" w:hanging="363"/>
      </w:pPr>
      <w:rPr>
        <w:rFonts w:hint="default"/>
        <w:lang w:val="en-AU" w:eastAsia="en-AU" w:bidi="en-AU"/>
      </w:rPr>
    </w:lvl>
    <w:lvl w:ilvl="6" w:tplc="E7A403E8">
      <w:numFmt w:val="bullet"/>
      <w:lvlText w:val="•"/>
      <w:lvlJc w:val="left"/>
      <w:pPr>
        <w:ind w:left="5757" w:hanging="363"/>
      </w:pPr>
      <w:rPr>
        <w:rFonts w:hint="default"/>
        <w:lang w:val="en-AU" w:eastAsia="en-AU" w:bidi="en-AU"/>
      </w:rPr>
    </w:lvl>
    <w:lvl w:ilvl="7" w:tplc="1AC2CA9C">
      <w:numFmt w:val="bullet"/>
      <w:lvlText w:val="•"/>
      <w:lvlJc w:val="left"/>
      <w:pPr>
        <w:ind w:left="6577" w:hanging="363"/>
      </w:pPr>
      <w:rPr>
        <w:rFonts w:hint="default"/>
        <w:lang w:val="en-AU" w:eastAsia="en-AU" w:bidi="en-AU"/>
      </w:rPr>
    </w:lvl>
    <w:lvl w:ilvl="8" w:tplc="49EC5320">
      <w:numFmt w:val="bullet"/>
      <w:lvlText w:val="•"/>
      <w:lvlJc w:val="left"/>
      <w:pPr>
        <w:ind w:left="7396" w:hanging="363"/>
      </w:pPr>
      <w:rPr>
        <w:rFonts w:hint="default"/>
        <w:lang w:val="en-AU" w:eastAsia="en-AU" w:bidi="en-AU"/>
      </w:rPr>
    </w:lvl>
  </w:abstractNum>
  <w:abstractNum w:abstractNumId="3" w15:restartNumberingAfterBreak="0">
    <w:nsid w:val="034E744A"/>
    <w:multiLevelType w:val="hybridMultilevel"/>
    <w:tmpl w:val="DD78E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640929"/>
    <w:multiLevelType w:val="multilevel"/>
    <w:tmpl w:val="1B12E8C2"/>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610232E"/>
    <w:multiLevelType w:val="multilevel"/>
    <w:tmpl w:val="2384CC8E"/>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E850EC6"/>
    <w:multiLevelType w:val="hybridMultilevel"/>
    <w:tmpl w:val="C7F6C1DA"/>
    <w:lvl w:ilvl="0" w:tplc="BEE4A97A">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3662AD"/>
    <w:multiLevelType w:val="hybridMultilevel"/>
    <w:tmpl w:val="B8D8C47A"/>
    <w:lvl w:ilvl="0" w:tplc="2D009C9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3006F0"/>
    <w:multiLevelType w:val="hybridMultilevel"/>
    <w:tmpl w:val="A1721718"/>
    <w:lvl w:ilvl="0" w:tplc="481E162E">
      <w:start w:val="1"/>
      <w:numFmt w:val="decimal"/>
      <w:lvlText w:val="%1."/>
      <w:lvlJc w:val="left"/>
      <w:pPr>
        <w:ind w:left="830" w:hanging="363"/>
      </w:pPr>
      <w:rPr>
        <w:rFonts w:ascii="Calibri" w:eastAsia="Calibri" w:hAnsi="Calibri" w:cs="Calibri" w:hint="default"/>
        <w:w w:val="100"/>
        <w:sz w:val="22"/>
        <w:szCs w:val="22"/>
        <w:lang w:val="en-AU" w:eastAsia="en-AU" w:bidi="en-AU"/>
      </w:rPr>
    </w:lvl>
    <w:lvl w:ilvl="1" w:tplc="5F22258C">
      <w:numFmt w:val="bullet"/>
      <w:lvlText w:val="•"/>
      <w:lvlJc w:val="left"/>
      <w:pPr>
        <w:ind w:left="1659" w:hanging="363"/>
      </w:pPr>
      <w:rPr>
        <w:rFonts w:hint="default"/>
        <w:lang w:val="en-AU" w:eastAsia="en-AU" w:bidi="en-AU"/>
      </w:rPr>
    </w:lvl>
    <w:lvl w:ilvl="2" w:tplc="DE5AA6B6">
      <w:numFmt w:val="bullet"/>
      <w:lvlText w:val="•"/>
      <w:lvlJc w:val="left"/>
      <w:pPr>
        <w:ind w:left="2479" w:hanging="363"/>
      </w:pPr>
      <w:rPr>
        <w:rFonts w:hint="default"/>
        <w:lang w:val="en-AU" w:eastAsia="en-AU" w:bidi="en-AU"/>
      </w:rPr>
    </w:lvl>
    <w:lvl w:ilvl="3" w:tplc="36DE6118">
      <w:numFmt w:val="bullet"/>
      <w:lvlText w:val="•"/>
      <w:lvlJc w:val="left"/>
      <w:pPr>
        <w:ind w:left="3298" w:hanging="363"/>
      </w:pPr>
      <w:rPr>
        <w:rFonts w:hint="default"/>
        <w:lang w:val="en-AU" w:eastAsia="en-AU" w:bidi="en-AU"/>
      </w:rPr>
    </w:lvl>
    <w:lvl w:ilvl="4" w:tplc="37702338">
      <w:numFmt w:val="bullet"/>
      <w:lvlText w:val="•"/>
      <w:lvlJc w:val="left"/>
      <w:pPr>
        <w:ind w:left="4118" w:hanging="363"/>
      </w:pPr>
      <w:rPr>
        <w:rFonts w:hint="default"/>
        <w:lang w:val="en-AU" w:eastAsia="en-AU" w:bidi="en-AU"/>
      </w:rPr>
    </w:lvl>
    <w:lvl w:ilvl="5" w:tplc="60B6913E">
      <w:numFmt w:val="bullet"/>
      <w:lvlText w:val="•"/>
      <w:lvlJc w:val="left"/>
      <w:pPr>
        <w:ind w:left="4938" w:hanging="363"/>
      </w:pPr>
      <w:rPr>
        <w:rFonts w:hint="default"/>
        <w:lang w:val="en-AU" w:eastAsia="en-AU" w:bidi="en-AU"/>
      </w:rPr>
    </w:lvl>
    <w:lvl w:ilvl="6" w:tplc="9348BD3C">
      <w:numFmt w:val="bullet"/>
      <w:lvlText w:val="•"/>
      <w:lvlJc w:val="left"/>
      <w:pPr>
        <w:ind w:left="5757" w:hanging="363"/>
      </w:pPr>
      <w:rPr>
        <w:rFonts w:hint="default"/>
        <w:lang w:val="en-AU" w:eastAsia="en-AU" w:bidi="en-AU"/>
      </w:rPr>
    </w:lvl>
    <w:lvl w:ilvl="7" w:tplc="3EEA0328">
      <w:numFmt w:val="bullet"/>
      <w:lvlText w:val="•"/>
      <w:lvlJc w:val="left"/>
      <w:pPr>
        <w:ind w:left="6577" w:hanging="363"/>
      </w:pPr>
      <w:rPr>
        <w:rFonts w:hint="default"/>
        <w:lang w:val="en-AU" w:eastAsia="en-AU" w:bidi="en-AU"/>
      </w:rPr>
    </w:lvl>
    <w:lvl w:ilvl="8" w:tplc="5038E012">
      <w:numFmt w:val="bullet"/>
      <w:lvlText w:val="•"/>
      <w:lvlJc w:val="left"/>
      <w:pPr>
        <w:ind w:left="7396" w:hanging="363"/>
      </w:pPr>
      <w:rPr>
        <w:rFonts w:hint="default"/>
        <w:lang w:val="en-AU" w:eastAsia="en-AU" w:bidi="en-AU"/>
      </w:rPr>
    </w:lvl>
  </w:abstractNum>
  <w:abstractNum w:abstractNumId="9" w15:restartNumberingAfterBreak="0">
    <w:nsid w:val="24FC15D5"/>
    <w:multiLevelType w:val="hybridMultilevel"/>
    <w:tmpl w:val="7B888A06"/>
    <w:lvl w:ilvl="0" w:tplc="3E964EE8">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45252A"/>
    <w:multiLevelType w:val="hybridMultilevel"/>
    <w:tmpl w:val="0F50AD64"/>
    <w:lvl w:ilvl="0" w:tplc="C0E0C8AA">
      <w:start w:val="1"/>
      <w:numFmt w:val="decimal"/>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CFA3450"/>
    <w:multiLevelType w:val="multilevel"/>
    <w:tmpl w:val="0ED8C11A"/>
    <w:lvl w:ilvl="0">
      <w:start w:val="1"/>
      <w:numFmt w:val="decimal"/>
      <w:lvlText w:val="%1"/>
      <w:lvlJc w:val="left"/>
      <w:pPr>
        <w:ind w:left="636" w:hanging="517"/>
      </w:pPr>
      <w:rPr>
        <w:rFonts w:ascii="Times New Roman" w:eastAsia="Times New Roman" w:hAnsi="Times New Roman" w:cs="Times New Roman" w:hint="default"/>
        <w:b/>
        <w:bCs/>
        <w:w w:val="101"/>
        <w:sz w:val="34"/>
        <w:szCs w:val="34"/>
      </w:rPr>
    </w:lvl>
    <w:lvl w:ilvl="1">
      <w:start w:val="1"/>
      <w:numFmt w:val="decimal"/>
      <w:lvlText w:val="%1.%2"/>
      <w:lvlJc w:val="left"/>
      <w:pPr>
        <w:ind w:left="765" w:hanging="646"/>
      </w:pPr>
      <w:rPr>
        <w:rFonts w:ascii="Times New Roman" w:eastAsia="Times New Roman" w:hAnsi="Times New Roman" w:cs="Times New Roman" w:hint="default"/>
        <w:b/>
        <w:bCs/>
        <w:w w:val="102"/>
        <w:sz w:val="28"/>
        <w:szCs w:val="28"/>
      </w:rPr>
    </w:lvl>
    <w:lvl w:ilvl="2">
      <w:start w:val="1"/>
      <w:numFmt w:val="decimal"/>
      <w:lvlText w:val="%1.%2.%3"/>
      <w:lvlJc w:val="left"/>
      <w:pPr>
        <w:ind w:left="837" w:hanging="718"/>
      </w:pPr>
      <w:rPr>
        <w:rFonts w:ascii="Times New Roman" w:eastAsia="Times New Roman" w:hAnsi="Times New Roman" w:cs="Times New Roman" w:hint="default"/>
        <w:b/>
        <w:bCs/>
        <w:w w:val="99"/>
        <w:sz w:val="24"/>
        <w:szCs w:val="24"/>
      </w:rPr>
    </w:lvl>
    <w:lvl w:ilvl="3">
      <w:numFmt w:val="bullet"/>
      <w:lvlText w:val="•"/>
      <w:lvlJc w:val="left"/>
      <w:pPr>
        <w:ind w:left="840" w:hanging="718"/>
      </w:pPr>
      <w:rPr>
        <w:rFonts w:hint="default"/>
      </w:rPr>
    </w:lvl>
    <w:lvl w:ilvl="4">
      <w:numFmt w:val="bullet"/>
      <w:lvlText w:val="•"/>
      <w:lvlJc w:val="left"/>
      <w:pPr>
        <w:ind w:left="2066" w:hanging="718"/>
      </w:pPr>
      <w:rPr>
        <w:rFonts w:hint="default"/>
      </w:rPr>
    </w:lvl>
    <w:lvl w:ilvl="5">
      <w:numFmt w:val="bullet"/>
      <w:lvlText w:val="•"/>
      <w:lvlJc w:val="left"/>
      <w:pPr>
        <w:ind w:left="3293" w:hanging="718"/>
      </w:pPr>
      <w:rPr>
        <w:rFonts w:hint="default"/>
      </w:rPr>
    </w:lvl>
    <w:lvl w:ilvl="6">
      <w:numFmt w:val="bullet"/>
      <w:lvlText w:val="•"/>
      <w:lvlJc w:val="left"/>
      <w:pPr>
        <w:ind w:left="4519" w:hanging="718"/>
      </w:pPr>
      <w:rPr>
        <w:rFonts w:hint="default"/>
      </w:rPr>
    </w:lvl>
    <w:lvl w:ilvl="7">
      <w:numFmt w:val="bullet"/>
      <w:lvlText w:val="•"/>
      <w:lvlJc w:val="left"/>
      <w:pPr>
        <w:ind w:left="5746" w:hanging="718"/>
      </w:pPr>
      <w:rPr>
        <w:rFonts w:hint="default"/>
      </w:rPr>
    </w:lvl>
    <w:lvl w:ilvl="8">
      <w:numFmt w:val="bullet"/>
      <w:lvlText w:val="•"/>
      <w:lvlJc w:val="left"/>
      <w:pPr>
        <w:ind w:left="6972" w:hanging="718"/>
      </w:pPr>
      <w:rPr>
        <w:rFonts w:hint="default"/>
      </w:rPr>
    </w:lvl>
  </w:abstractNum>
  <w:abstractNum w:abstractNumId="12" w15:restartNumberingAfterBreak="0">
    <w:nsid w:val="2E3A2D10"/>
    <w:multiLevelType w:val="hybridMultilevel"/>
    <w:tmpl w:val="D122BE9E"/>
    <w:lvl w:ilvl="0" w:tplc="C0E0C8AA">
      <w:start w:val="1"/>
      <w:numFmt w:val="decimal"/>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1A3012D"/>
    <w:multiLevelType w:val="hybridMultilevel"/>
    <w:tmpl w:val="789096F2"/>
    <w:lvl w:ilvl="0" w:tplc="41720838">
      <w:start w:val="1"/>
      <w:numFmt w:val="decimal"/>
      <w:lvlText w:val="%1."/>
      <w:lvlJc w:val="left"/>
      <w:pPr>
        <w:ind w:left="830" w:hanging="363"/>
      </w:pPr>
      <w:rPr>
        <w:rFonts w:ascii="Calibri" w:eastAsia="Calibri" w:hAnsi="Calibri" w:cs="Calibri" w:hint="default"/>
        <w:w w:val="100"/>
        <w:sz w:val="22"/>
        <w:szCs w:val="22"/>
        <w:lang w:val="en-AU" w:eastAsia="en-AU" w:bidi="en-AU"/>
      </w:rPr>
    </w:lvl>
    <w:lvl w:ilvl="1" w:tplc="BD7CD976">
      <w:numFmt w:val="bullet"/>
      <w:lvlText w:val="•"/>
      <w:lvlJc w:val="left"/>
      <w:pPr>
        <w:ind w:left="1659" w:hanging="363"/>
      </w:pPr>
      <w:rPr>
        <w:rFonts w:hint="default"/>
        <w:lang w:val="en-AU" w:eastAsia="en-AU" w:bidi="en-AU"/>
      </w:rPr>
    </w:lvl>
    <w:lvl w:ilvl="2" w:tplc="18E0B100">
      <w:numFmt w:val="bullet"/>
      <w:lvlText w:val="•"/>
      <w:lvlJc w:val="left"/>
      <w:pPr>
        <w:ind w:left="2479" w:hanging="363"/>
      </w:pPr>
      <w:rPr>
        <w:rFonts w:hint="default"/>
        <w:lang w:val="en-AU" w:eastAsia="en-AU" w:bidi="en-AU"/>
      </w:rPr>
    </w:lvl>
    <w:lvl w:ilvl="3" w:tplc="D8189C7A">
      <w:numFmt w:val="bullet"/>
      <w:lvlText w:val="•"/>
      <w:lvlJc w:val="left"/>
      <w:pPr>
        <w:ind w:left="3298" w:hanging="363"/>
      </w:pPr>
      <w:rPr>
        <w:rFonts w:hint="default"/>
        <w:lang w:val="en-AU" w:eastAsia="en-AU" w:bidi="en-AU"/>
      </w:rPr>
    </w:lvl>
    <w:lvl w:ilvl="4" w:tplc="60BA3542">
      <w:numFmt w:val="bullet"/>
      <w:lvlText w:val="•"/>
      <w:lvlJc w:val="left"/>
      <w:pPr>
        <w:ind w:left="4118" w:hanging="363"/>
      </w:pPr>
      <w:rPr>
        <w:rFonts w:hint="default"/>
        <w:lang w:val="en-AU" w:eastAsia="en-AU" w:bidi="en-AU"/>
      </w:rPr>
    </w:lvl>
    <w:lvl w:ilvl="5" w:tplc="846CB400">
      <w:numFmt w:val="bullet"/>
      <w:lvlText w:val="•"/>
      <w:lvlJc w:val="left"/>
      <w:pPr>
        <w:ind w:left="4938" w:hanging="363"/>
      </w:pPr>
      <w:rPr>
        <w:rFonts w:hint="default"/>
        <w:lang w:val="en-AU" w:eastAsia="en-AU" w:bidi="en-AU"/>
      </w:rPr>
    </w:lvl>
    <w:lvl w:ilvl="6" w:tplc="EEF26EDE">
      <w:numFmt w:val="bullet"/>
      <w:lvlText w:val="•"/>
      <w:lvlJc w:val="left"/>
      <w:pPr>
        <w:ind w:left="5757" w:hanging="363"/>
      </w:pPr>
      <w:rPr>
        <w:rFonts w:hint="default"/>
        <w:lang w:val="en-AU" w:eastAsia="en-AU" w:bidi="en-AU"/>
      </w:rPr>
    </w:lvl>
    <w:lvl w:ilvl="7" w:tplc="A674497E">
      <w:numFmt w:val="bullet"/>
      <w:lvlText w:val="•"/>
      <w:lvlJc w:val="left"/>
      <w:pPr>
        <w:ind w:left="6577" w:hanging="363"/>
      </w:pPr>
      <w:rPr>
        <w:rFonts w:hint="default"/>
        <w:lang w:val="en-AU" w:eastAsia="en-AU" w:bidi="en-AU"/>
      </w:rPr>
    </w:lvl>
    <w:lvl w:ilvl="8" w:tplc="E1040BF0">
      <w:numFmt w:val="bullet"/>
      <w:lvlText w:val="•"/>
      <w:lvlJc w:val="left"/>
      <w:pPr>
        <w:ind w:left="7396" w:hanging="363"/>
      </w:pPr>
      <w:rPr>
        <w:rFonts w:hint="default"/>
        <w:lang w:val="en-AU" w:eastAsia="en-AU" w:bidi="en-AU"/>
      </w:rPr>
    </w:lvl>
  </w:abstractNum>
  <w:abstractNum w:abstractNumId="14" w15:restartNumberingAfterBreak="0">
    <w:nsid w:val="323E2190"/>
    <w:multiLevelType w:val="hybridMultilevel"/>
    <w:tmpl w:val="A022BEDA"/>
    <w:lvl w:ilvl="0" w:tplc="3E964EE8">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F37187"/>
    <w:multiLevelType w:val="hybridMultilevel"/>
    <w:tmpl w:val="2C8C61C6"/>
    <w:lvl w:ilvl="0" w:tplc="3E964EE8">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0C29AD"/>
    <w:multiLevelType w:val="multilevel"/>
    <w:tmpl w:val="2384CC8E"/>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9B27459"/>
    <w:multiLevelType w:val="hybridMultilevel"/>
    <w:tmpl w:val="88C6A422"/>
    <w:lvl w:ilvl="0" w:tplc="5082E662">
      <w:numFmt w:val="bullet"/>
      <w:lvlText w:val=""/>
      <w:lvlJc w:val="left"/>
      <w:pPr>
        <w:ind w:left="743" w:hanging="360"/>
      </w:pPr>
      <w:rPr>
        <w:rFonts w:ascii="Symbol" w:eastAsia="Symbol" w:hAnsi="Symbol" w:cs="Symbol" w:hint="default"/>
        <w:color w:val="313D4F"/>
        <w:w w:val="100"/>
        <w:sz w:val="22"/>
        <w:szCs w:val="22"/>
        <w:lang w:val="en-AU" w:eastAsia="en-AU" w:bidi="en-AU"/>
      </w:rPr>
    </w:lvl>
    <w:lvl w:ilvl="1" w:tplc="EB3C0820">
      <w:numFmt w:val="bullet"/>
      <w:lvlText w:val="•"/>
      <w:lvlJc w:val="left"/>
      <w:pPr>
        <w:ind w:left="1403" w:hanging="360"/>
      </w:pPr>
      <w:rPr>
        <w:rFonts w:hint="default"/>
        <w:lang w:val="en-AU" w:eastAsia="en-AU" w:bidi="en-AU"/>
      </w:rPr>
    </w:lvl>
    <w:lvl w:ilvl="2" w:tplc="2CB22F14">
      <w:numFmt w:val="bullet"/>
      <w:lvlText w:val="•"/>
      <w:lvlJc w:val="left"/>
      <w:pPr>
        <w:ind w:left="2066" w:hanging="360"/>
      </w:pPr>
      <w:rPr>
        <w:rFonts w:hint="default"/>
        <w:lang w:val="en-AU" w:eastAsia="en-AU" w:bidi="en-AU"/>
      </w:rPr>
    </w:lvl>
    <w:lvl w:ilvl="3" w:tplc="746CD730">
      <w:numFmt w:val="bullet"/>
      <w:lvlText w:val="•"/>
      <w:lvlJc w:val="left"/>
      <w:pPr>
        <w:ind w:left="2729" w:hanging="360"/>
      </w:pPr>
      <w:rPr>
        <w:rFonts w:hint="default"/>
        <w:lang w:val="en-AU" w:eastAsia="en-AU" w:bidi="en-AU"/>
      </w:rPr>
    </w:lvl>
    <w:lvl w:ilvl="4" w:tplc="06CACD7E">
      <w:numFmt w:val="bullet"/>
      <w:lvlText w:val="•"/>
      <w:lvlJc w:val="left"/>
      <w:pPr>
        <w:ind w:left="3392" w:hanging="360"/>
      </w:pPr>
      <w:rPr>
        <w:rFonts w:hint="default"/>
        <w:lang w:val="en-AU" w:eastAsia="en-AU" w:bidi="en-AU"/>
      </w:rPr>
    </w:lvl>
    <w:lvl w:ilvl="5" w:tplc="0FCA2000">
      <w:numFmt w:val="bullet"/>
      <w:lvlText w:val="•"/>
      <w:lvlJc w:val="left"/>
      <w:pPr>
        <w:ind w:left="4055" w:hanging="360"/>
      </w:pPr>
      <w:rPr>
        <w:rFonts w:hint="default"/>
        <w:lang w:val="en-AU" w:eastAsia="en-AU" w:bidi="en-AU"/>
      </w:rPr>
    </w:lvl>
    <w:lvl w:ilvl="6" w:tplc="EF6A59B2">
      <w:numFmt w:val="bullet"/>
      <w:lvlText w:val="•"/>
      <w:lvlJc w:val="left"/>
      <w:pPr>
        <w:ind w:left="4718" w:hanging="360"/>
      </w:pPr>
      <w:rPr>
        <w:rFonts w:hint="default"/>
        <w:lang w:val="en-AU" w:eastAsia="en-AU" w:bidi="en-AU"/>
      </w:rPr>
    </w:lvl>
    <w:lvl w:ilvl="7" w:tplc="9A761B78">
      <w:numFmt w:val="bullet"/>
      <w:lvlText w:val="•"/>
      <w:lvlJc w:val="left"/>
      <w:pPr>
        <w:ind w:left="5381" w:hanging="360"/>
      </w:pPr>
      <w:rPr>
        <w:rFonts w:hint="default"/>
        <w:lang w:val="en-AU" w:eastAsia="en-AU" w:bidi="en-AU"/>
      </w:rPr>
    </w:lvl>
    <w:lvl w:ilvl="8" w:tplc="2CA89684">
      <w:numFmt w:val="bullet"/>
      <w:lvlText w:val="•"/>
      <w:lvlJc w:val="left"/>
      <w:pPr>
        <w:ind w:left="6044" w:hanging="360"/>
      </w:pPr>
      <w:rPr>
        <w:rFonts w:hint="default"/>
        <w:lang w:val="en-AU" w:eastAsia="en-AU" w:bidi="en-AU"/>
      </w:rPr>
    </w:lvl>
  </w:abstractNum>
  <w:abstractNum w:abstractNumId="18" w15:restartNumberingAfterBreak="0">
    <w:nsid w:val="4A920784"/>
    <w:multiLevelType w:val="hybridMultilevel"/>
    <w:tmpl w:val="0B400F14"/>
    <w:lvl w:ilvl="0" w:tplc="B358B156">
      <w:start w:val="1"/>
      <w:numFmt w:val="decimal"/>
      <w:lvlText w:val="%1."/>
      <w:lvlJc w:val="left"/>
      <w:pPr>
        <w:ind w:left="830" w:hanging="363"/>
      </w:pPr>
      <w:rPr>
        <w:rFonts w:ascii="Calibri" w:eastAsia="Calibri" w:hAnsi="Calibri" w:cs="Calibri" w:hint="default"/>
        <w:w w:val="100"/>
        <w:sz w:val="22"/>
        <w:szCs w:val="22"/>
        <w:lang w:val="en-AU" w:eastAsia="en-AU" w:bidi="en-AU"/>
      </w:rPr>
    </w:lvl>
    <w:lvl w:ilvl="1" w:tplc="AD96EA7C">
      <w:numFmt w:val="bullet"/>
      <w:lvlText w:val="•"/>
      <w:lvlJc w:val="left"/>
      <w:pPr>
        <w:ind w:left="1659" w:hanging="363"/>
      </w:pPr>
      <w:rPr>
        <w:rFonts w:hint="default"/>
        <w:lang w:val="en-AU" w:eastAsia="en-AU" w:bidi="en-AU"/>
      </w:rPr>
    </w:lvl>
    <w:lvl w:ilvl="2" w:tplc="50180EA2">
      <w:numFmt w:val="bullet"/>
      <w:lvlText w:val="•"/>
      <w:lvlJc w:val="left"/>
      <w:pPr>
        <w:ind w:left="2479" w:hanging="363"/>
      </w:pPr>
      <w:rPr>
        <w:rFonts w:hint="default"/>
        <w:lang w:val="en-AU" w:eastAsia="en-AU" w:bidi="en-AU"/>
      </w:rPr>
    </w:lvl>
    <w:lvl w:ilvl="3" w:tplc="B9AC89D8">
      <w:numFmt w:val="bullet"/>
      <w:lvlText w:val="•"/>
      <w:lvlJc w:val="left"/>
      <w:pPr>
        <w:ind w:left="3298" w:hanging="363"/>
      </w:pPr>
      <w:rPr>
        <w:rFonts w:hint="default"/>
        <w:lang w:val="en-AU" w:eastAsia="en-AU" w:bidi="en-AU"/>
      </w:rPr>
    </w:lvl>
    <w:lvl w:ilvl="4" w:tplc="90C682BA">
      <w:numFmt w:val="bullet"/>
      <w:lvlText w:val="•"/>
      <w:lvlJc w:val="left"/>
      <w:pPr>
        <w:ind w:left="4118" w:hanging="363"/>
      </w:pPr>
      <w:rPr>
        <w:rFonts w:hint="default"/>
        <w:lang w:val="en-AU" w:eastAsia="en-AU" w:bidi="en-AU"/>
      </w:rPr>
    </w:lvl>
    <w:lvl w:ilvl="5" w:tplc="8C3ECB72">
      <w:numFmt w:val="bullet"/>
      <w:lvlText w:val="•"/>
      <w:lvlJc w:val="left"/>
      <w:pPr>
        <w:ind w:left="4938" w:hanging="363"/>
      </w:pPr>
      <w:rPr>
        <w:rFonts w:hint="default"/>
        <w:lang w:val="en-AU" w:eastAsia="en-AU" w:bidi="en-AU"/>
      </w:rPr>
    </w:lvl>
    <w:lvl w:ilvl="6" w:tplc="5F247B6E">
      <w:numFmt w:val="bullet"/>
      <w:lvlText w:val="•"/>
      <w:lvlJc w:val="left"/>
      <w:pPr>
        <w:ind w:left="5757" w:hanging="363"/>
      </w:pPr>
      <w:rPr>
        <w:rFonts w:hint="default"/>
        <w:lang w:val="en-AU" w:eastAsia="en-AU" w:bidi="en-AU"/>
      </w:rPr>
    </w:lvl>
    <w:lvl w:ilvl="7" w:tplc="A6C8CE68">
      <w:numFmt w:val="bullet"/>
      <w:lvlText w:val="•"/>
      <w:lvlJc w:val="left"/>
      <w:pPr>
        <w:ind w:left="6577" w:hanging="363"/>
      </w:pPr>
      <w:rPr>
        <w:rFonts w:hint="default"/>
        <w:lang w:val="en-AU" w:eastAsia="en-AU" w:bidi="en-AU"/>
      </w:rPr>
    </w:lvl>
    <w:lvl w:ilvl="8" w:tplc="F7B6AE82">
      <w:numFmt w:val="bullet"/>
      <w:lvlText w:val="•"/>
      <w:lvlJc w:val="left"/>
      <w:pPr>
        <w:ind w:left="7396" w:hanging="363"/>
      </w:pPr>
      <w:rPr>
        <w:rFonts w:hint="default"/>
        <w:lang w:val="en-AU" w:eastAsia="en-AU" w:bidi="en-AU"/>
      </w:rPr>
    </w:lvl>
  </w:abstractNum>
  <w:abstractNum w:abstractNumId="19" w15:restartNumberingAfterBreak="0">
    <w:nsid w:val="4E1C5F88"/>
    <w:multiLevelType w:val="hybridMultilevel"/>
    <w:tmpl w:val="4FC6D0A6"/>
    <w:lvl w:ilvl="0" w:tplc="F0D48A80">
      <w:numFmt w:val="bullet"/>
      <w:lvlText w:val=""/>
      <w:lvlJc w:val="left"/>
      <w:pPr>
        <w:ind w:left="743" w:hanging="360"/>
      </w:pPr>
      <w:rPr>
        <w:rFonts w:ascii="Symbol" w:eastAsia="Symbol" w:hAnsi="Symbol" w:cs="Symbol" w:hint="default"/>
        <w:color w:val="313D4F"/>
        <w:w w:val="100"/>
        <w:sz w:val="22"/>
        <w:szCs w:val="22"/>
        <w:lang w:val="en-AU" w:eastAsia="en-AU" w:bidi="en-AU"/>
      </w:rPr>
    </w:lvl>
    <w:lvl w:ilvl="1" w:tplc="DDBAB32E">
      <w:numFmt w:val="bullet"/>
      <w:lvlText w:val="•"/>
      <w:lvlJc w:val="left"/>
      <w:pPr>
        <w:ind w:left="1403" w:hanging="360"/>
      </w:pPr>
      <w:rPr>
        <w:rFonts w:hint="default"/>
        <w:lang w:val="en-AU" w:eastAsia="en-AU" w:bidi="en-AU"/>
      </w:rPr>
    </w:lvl>
    <w:lvl w:ilvl="2" w:tplc="8E221AF2">
      <w:numFmt w:val="bullet"/>
      <w:lvlText w:val="•"/>
      <w:lvlJc w:val="left"/>
      <w:pPr>
        <w:ind w:left="2066" w:hanging="360"/>
      </w:pPr>
      <w:rPr>
        <w:rFonts w:hint="default"/>
        <w:lang w:val="en-AU" w:eastAsia="en-AU" w:bidi="en-AU"/>
      </w:rPr>
    </w:lvl>
    <w:lvl w:ilvl="3" w:tplc="35D0B6A2">
      <w:numFmt w:val="bullet"/>
      <w:lvlText w:val="•"/>
      <w:lvlJc w:val="left"/>
      <w:pPr>
        <w:ind w:left="2729" w:hanging="360"/>
      </w:pPr>
      <w:rPr>
        <w:rFonts w:hint="default"/>
        <w:lang w:val="en-AU" w:eastAsia="en-AU" w:bidi="en-AU"/>
      </w:rPr>
    </w:lvl>
    <w:lvl w:ilvl="4" w:tplc="1A70BBA8">
      <w:numFmt w:val="bullet"/>
      <w:lvlText w:val="•"/>
      <w:lvlJc w:val="left"/>
      <w:pPr>
        <w:ind w:left="3392" w:hanging="360"/>
      </w:pPr>
      <w:rPr>
        <w:rFonts w:hint="default"/>
        <w:lang w:val="en-AU" w:eastAsia="en-AU" w:bidi="en-AU"/>
      </w:rPr>
    </w:lvl>
    <w:lvl w:ilvl="5" w:tplc="A95CB608">
      <w:numFmt w:val="bullet"/>
      <w:lvlText w:val="•"/>
      <w:lvlJc w:val="left"/>
      <w:pPr>
        <w:ind w:left="4055" w:hanging="360"/>
      </w:pPr>
      <w:rPr>
        <w:rFonts w:hint="default"/>
        <w:lang w:val="en-AU" w:eastAsia="en-AU" w:bidi="en-AU"/>
      </w:rPr>
    </w:lvl>
    <w:lvl w:ilvl="6" w:tplc="C3BA5162">
      <w:numFmt w:val="bullet"/>
      <w:lvlText w:val="•"/>
      <w:lvlJc w:val="left"/>
      <w:pPr>
        <w:ind w:left="4718" w:hanging="360"/>
      </w:pPr>
      <w:rPr>
        <w:rFonts w:hint="default"/>
        <w:lang w:val="en-AU" w:eastAsia="en-AU" w:bidi="en-AU"/>
      </w:rPr>
    </w:lvl>
    <w:lvl w:ilvl="7" w:tplc="7248C7FC">
      <w:numFmt w:val="bullet"/>
      <w:lvlText w:val="•"/>
      <w:lvlJc w:val="left"/>
      <w:pPr>
        <w:ind w:left="5381" w:hanging="360"/>
      </w:pPr>
      <w:rPr>
        <w:rFonts w:hint="default"/>
        <w:lang w:val="en-AU" w:eastAsia="en-AU" w:bidi="en-AU"/>
      </w:rPr>
    </w:lvl>
    <w:lvl w:ilvl="8" w:tplc="A6F0EF32">
      <w:numFmt w:val="bullet"/>
      <w:lvlText w:val="•"/>
      <w:lvlJc w:val="left"/>
      <w:pPr>
        <w:ind w:left="6044" w:hanging="360"/>
      </w:pPr>
      <w:rPr>
        <w:rFonts w:hint="default"/>
        <w:lang w:val="en-AU" w:eastAsia="en-AU" w:bidi="en-AU"/>
      </w:rPr>
    </w:lvl>
  </w:abstractNum>
  <w:abstractNum w:abstractNumId="20" w15:restartNumberingAfterBreak="0">
    <w:nsid w:val="4E3C1300"/>
    <w:multiLevelType w:val="hybridMultilevel"/>
    <w:tmpl w:val="1EEE0F04"/>
    <w:lvl w:ilvl="0" w:tplc="3E964EE8">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1CF3AEC"/>
    <w:multiLevelType w:val="hybridMultilevel"/>
    <w:tmpl w:val="522A7498"/>
    <w:lvl w:ilvl="0" w:tplc="C0E0C8AA">
      <w:start w:val="1"/>
      <w:numFmt w:val="decimal"/>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5295AC4"/>
    <w:multiLevelType w:val="hybridMultilevel"/>
    <w:tmpl w:val="ABAA29BA"/>
    <w:lvl w:ilvl="0" w:tplc="39EEBCF0">
      <w:start w:val="1"/>
      <w:numFmt w:val="decimal"/>
      <w:lvlText w:val="[%1]"/>
      <w:lvlJc w:val="left"/>
      <w:pPr>
        <w:ind w:left="396" w:hanging="396"/>
      </w:pPr>
      <w:rPr>
        <w:rFonts w:ascii="Times New Roman" w:eastAsia="Times New Roman" w:hAnsi="Times New Roman" w:cs="Times New Roman" w:hint="default"/>
        <w:w w:val="99"/>
        <w:sz w:val="24"/>
        <w:szCs w:val="24"/>
      </w:rPr>
    </w:lvl>
    <w:lvl w:ilvl="1" w:tplc="B9F45CEC">
      <w:numFmt w:val="bullet"/>
      <w:lvlText w:val="•"/>
      <w:lvlJc w:val="left"/>
      <w:pPr>
        <w:ind w:left="1302" w:hanging="396"/>
      </w:pPr>
      <w:rPr>
        <w:rFonts w:hint="default"/>
      </w:rPr>
    </w:lvl>
    <w:lvl w:ilvl="2" w:tplc="2EE69EFC">
      <w:numFmt w:val="bullet"/>
      <w:lvlText w:val="•"/>
      <w:lvlJc w:val="left"/>
      <w:pPr>
        <w:ind w:left="2205" w:hanging="396"/>
      </w:pPr>
      <w:rPr>
        <w:rFonts w:hint="default"/>
      </w:rPr>
    </w:lvl>
    <w:lvl w:ilvl="3" w:tplc="A356C3EC">
      <w:numFmt w:val="bullet"/>
      <w:lvlText w:val="•"/>
      <w:lvlJc w:val="left"/>
      <w:pPr>
        <w:ind w:left="3107" w:hanging="396"/>
      </w:pPr>
      <w:rPr>
        <w:rFonts w:hint="default"/>
      </w:rPr>
    </w:lvl>
    <w:lvl w:ilvl="4" w:tplc="F044126E">
      <w:numFmt w:val="bullet"/>
      <w:lvlText w:val="•"/>
      <w:lvlJc w:val="left"/>
      <w:pPr>
        <w:ind w:left="4010" w:hanging="396"/>
      </w:pPr>
      <w:rPr>
        <w:rFonts w:hint="default"/>
      </w:rPr>
    </w:lvl>
    <w:lvl w:ilvl="5" w:tplc="8D36C140">
      <w:numFmt w:val="bullet"/>
      <w:lvlText w:val="•"/>
      <w:lvlJc w:val="left"/>
      <w:pPr>
        <w:ind w:left="4912" w:hanging="396"/>
      </w:pPr>
      <w:rPr>
        <w:rFonts w:hint="default"/>
      </w:rPr>
    </w:lvl>
    <w:lvl w:ilvl="6" w:tplc="546E6B5A">
      <w:numFmt w:val="bullet"/>
      <w:lvlText w:val="•"/>
      <w:lvlJc w:val="left"/>
      <w:pPr>
        <w:ind w:left="5815" w:hanging="396"/>
      </w:pPr>
      <w:rPr>
        <w:rFonts w:hint="default"/>
      </w:rPr>
    </w:lvl>
    <w:lvl w:ilvl="7" w:tplc="BFCC733E">
      <w:numFmt w:val="bullet"/>
      <w:lvlText w:val="•"/>
      <w:lvlJc w:val="left"/>
      <w:pPr>
        <w:ind w:left="6717" w:hanging="396"/>
      </w:pPr>
      <w:rPr>
        <w:rFonts w:hint="default"/>
      </w:rPr>
    </w:lvl>
    <w:lvl w:ilvl="8" w:tplc="8774D332">
      <w:numFmt w:val="bullet"/>
      <w:lvlText w:val="•"/>
      <w:lvlJc w:val="left"/>
      <w:pPr>
        <w:ind w:left="7620" w:hanging="396"/>
      </w:pPr>
      <w:rPr>
        <w:rFonts w:hint="default"/>
      </w:rPr>
    </w:lvl>
  </w:abstractNum>
  <w:abstractNum w:abstractNumId="23" w15:restartNumberingAfterBreak="0">
    <w:nsid w:val="58481445"/>
    <w:multiLevelType w:val="hybridMultilevel"/>
    <w:tmpl w:val="8ED630A8"/>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1B35EC8"/>
    <w:multiLevelType w:val="hybridMultilevel"/>
    <w:tmpl w:val="ED44E730"/>
    <w:lvl w:ilvl="0" w:tplc="2D009C9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2226B6B"/>
    <w:multiLevelType w:val="hybridMultilevel"/>
    <w:tmpl w:val="704C86B4"/>
    <w:lvl w:ilvl="0" w:tplc="3042BC5C">
      <w:numFmt w:val="bullet"/>
      <w:lvlText w:val=""/>
      <w:lvlJc w:val="left"/>
      <w:pPr>
        <w:ind w:left="743" w:hanging="360"/>
      </w:pPr>
      <w:rPr>
        <w:rFonts w:ascii="Symbol" w:eastAsia="Symbol" w:hAnsi="Symbol" w:cs="Symbol" w:hint="default"/>
        <w:color w:val="313D4F"/>
        <w:w w:val="100"/>
        <w:sz w:val="22"/>
        <w:szCs w:val="22"/>
        <w:lang w:val="en-AU" w:eastAsia="en-AU" w:bidi="en-AU"/>
      </w:rPr>
    </w:lvl>
    <w:lvl w:ilvl="1" w:tplc="CB0AFA18">
      <w:numFmt w:val="bullet"/>
      <w:lvlText w:val="•"/>
      <w:lvlJc w:val="left"/>
      <w:pPr>
        <w:ind w:left="1403" w:hanging="360"/>
      </w:pPr>
      <w:rPr>
        <w:rFonts w:hint="default"/>
        <w:lang w:val="en-AU" w:eastAsia="en-AU" w:bidi="en-AU"/>
      </w:rPr>
    </w:lvl>
    <w:lvl w:ilvl="2" w:tplc="F0C6779C">
      <w:numFmt w:val="bullet"/>
      <w:lvlText w:val="•"/>
      <w:lvlJc w:val="left"/>
      <w:pPr>
        <w:ind w:left="2066" w:hanging="360"/>
      </w:pPr>
      <w:rPr>
        <w:rFonts w:hint="default"/>
        <w:lang w:val="en-AU" w:eastAsia="en-AU" w:bidi="en-AU"/>
      </w:rPr>
    </w:lvl>
    <w:lvl w:ilvl="3" w:tplc="3A9E37BE">
      <w:numFmt w:val="bullet"/>
      <w:lvlText w:val="•"/>
      <w:lvlJc w:val="left"/>
      <w:pPr>
        <w:ind w:left="2729" w:hanging="360"/>
      </w:pPr>
      <w:rPr>
        <w:rFonts w:hint="default"/>
        <w:lang w:val="en-AU" w:eastAsia="en-AU" w:bidi="en-AU"/>
      </w:rPr>
    </w:lvl>
    <w:lvl w:ilvl="4" w:tplc="E4D8EB2E">
      <w:numFmt w:val="bullet"/>
      <w:lvlText w:val="•"/>
      <w:lvlJc w:val="left"/>
      <w:pPr>
        <w:ind w:left="3392" w:hanging="360"/>
      </w:pPr>
      <w:rPr>
        <w:rFonts w:hint="default"/>
        <w:lang w:val="en-AU" w:eastAsia="en-AU" w:bidi="en-AU"/>
      </w:rPr>
    </w:lvl>
    <w:lvl w:ilvl="5" w:tplc="E0E8A57C">
      <w:numFmt w:val="bullet"/>
      <w:lvlText w:val="•"/>
      <w:lvlJc w:val="left"/>
      <w:pPr>
        <w:ind w:left="4055" w:hanging="360"/>
      </w:pPr>
      <w:rPr>
        <w:rFonts w:hint="default"/>
        <w:lang w:val="en-AU" w:eastAsia="en-AU" w:bidi="en-AU"/>
      </w:rPr>
    </w:lvl>
    <w:lvl w:ilvl="6" w:tplc="F1088A1A">
      <w:numFmt w:val="bullet"/>
      <w:lvlText w:val="•"/>
      <w:lvlJc w:val="left"/>
      <w:pPr>
        <w:ind w:left="4718" w:hanging="360"/>
      </w:pPr>
      <w:rPr>
        <w:rFonts w:hint="default"/>
        <w:lang w:val="en-AU" w:eastAsia="en-AU" w:bidi="en-AU"/>
      </w:rPr>
    </w:lvl>
    <w:lvl w:ilvl="7" w:tplc="8BB8BBFC">
      <w:numFmt w:val="bullet"/>
      <w:lvlText w:val="•"/>
      <w:lvlJc w:val="left"/>
      <w:pPr>
        <w:ind w:left="5381" w:hanging="360"/>
      </w:pPr>
      <w:rPr>
        <w:rFonts w:hint="default"/>
        <w:lang w:val="en-AU" w:eastAsia="en-AU" w:bidi="en-AU"/>
      </w:rPr>
    </w:lvl>
    <w:lvl w:ilvl="8" w:tplc="44328C52">
      <w:numFmt w:val="bullet"/>
      <w:lvlText w:val="•"/>
      <w:lvlJc w:val="left"/>
      <w:pPr>
        <w:ind w:left="6044" w:hanging="360"/>
      </w:pPr>
      <w:rPr>
        <w:rFonts w:hint="default"/>
        <w:lang w:val="en-AU" w:eastAsia="en-AU" w:bidi="en-AU"/>
      </w:rPr>
    </w:lvl>
  </w:abstractNum>
  <w:abstractNum w:abstractNumId="26" w15:restartNumberingAfterBreak="0">
    <w:nsid w:val="62D30107"/>
    <w:multiLevelType w:val="hybridMultilevel"/>
    <w:tmpl w:val="41EE9962"/>
    <w:lvl w:ilvl="0" w:tplc="2D009C9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F10904"/>
    <w:multiLevelType w:val="hybridMultilevel"/>
    <w:tmpl w:val="4142D2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73C323B"/>
    <w:multiLevelType w:val="hybridMultilevel"/>
    <w:tmpl w:val="9F588664"/>
    <w:lvl w:ilvl="0" w:tplc="2D009C9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8C10E15"/>
    <w:multiLevelType w:val="hybridMultilevel"/>
    <w:tmpl w:val="E298688A"/>
    <w:lvl w:ilvl="0" w:tplc="2D009C9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793B8D"/>
    <w:multiLevelType w:val="hybridMultilevel"/>
    <w:tmpl w:val="98E0472E"/>
    <w:lvl w:ilvl="0" w:tplc="3E964EE8">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3E607A0"/>
    <w:multiLevelType w:val="hybridMultilevel"/>
    <w:tmpl w:val="84F8BD30"/>
    <w:lvl w:ilvl="0" w:tplc="8A10EC2C">
      <w:numFmt w:val="bullet"/>
      <w:lvlText w:val=""/>
      <w:lvlJc w:val="left"/>
      <w:pPr>
        <w:ind w:left="743" w:hanging="360"/>
      </w:pPr>
      <w:rPr>
        <w:rFonts w:ascii="Symbol" w:eastAsia="Symbol" w:hAnsi="Symbol" w:cs="Symbol" w:hint="default"/>
        <w:color w:val="313D4F"/>
        <w:w w:val="100"/>
        <w:sz w:val="22"/>
        <w:szCs w:val="22"/>
        <w:lang w:val="en-AU" w:eastAsia="en-AU" w:bidi="en-AU"/>
      </w:rPr>
    </w:lvl>
    <w:lvl w:ilvl="1" w:tplc="E74CD32A">
      <w:numFmt w:val="bullet"/>
      <w:lvlText w:val="•"/>
      <w:lvlJc w:val="left"/>
      <w:pPr>
        <w:ind w:left="1403" w:hanging="360"/>
      </w:pPr>
      <w:rPr>
        <w:rFonts w:hint="default"/>
        <w:lang w:val="en-AU" w:eastAsia="en-AU" w:bidi="en-AU"/>
      </w:rPr>
    </w:lvl>
    <w:lvl w:ilvl="2" w:tplc="881C0AE6">
      <w:numFmt w:val="bullet"/>
      <w:lvlText w:val="•"/>
      <w:lvlJc w:val="left"/>
      <w:pPr>
        <w:ind w:left="2066" w:hanging="360"/>
      </w:pPr>
      <w:rPr>
        <w:rFonts w:hint="default"/>
        <w:lang w:val="en-AU" w:eastAsia="en-AU" w:bidi="en-AU"/>
      </w:rPr>
    </w:lvl>
    <w:lvl w:ilvl="3" w:tplc="88D61614">
      <w:numFmt w:val="bullet"/>
      <w:lvlText w:val="•"/>
      <w:lvlJc w:val="left"/>
      <w:pPr>
        <w:ind w:left="2729" w:hanging="360"/>
      </w:pPr>
      <w:rPr>
        <w:rFonts w:hint="default"/>
        <w:lang w:val="en-AU" w:eastAsia="en-AU" w:bidi="en-AU"/>
      </w:rPr>
    </w:lvl>
    <w:lvl w:ilvl="4" w:tplc="6D28F8D4">
      <w:numFmt w:val="bullet"/>
      <w:lvlText w:val="•"/>
      <w:lvlJc w:val="left"/>
      <w:pPr>
        <w:ind w:left="3392" w:hanging="360"/>
      </w:pPr>
      <w:rPr>
        <w:rFonts w:hint="default"/>
        <w:lang w:val="en-AU" w:eastAsia="en-AU" w:bidi="en-AU"/>
      </w:rPr>
    </w:lvl>
    <w:lvl w:ilvl="5" w:tplc="6F767BA8">
      <w:numFmt w:val="bullet"/>
      <w:lvlText w:val="•"/>
      <w:lvlJc w:val="left"/>
      <w:pPr>
        <w:ind w:left="4055" w:hanging="360"/>
      </w:pPr>
      <w:rPr>
        <w:rFonts w:hint="default"/>
        <w:lang w:val="en-AU" w:eastAsia="en-AU" w:bidi="en-AU"/>
      </w:rPr>
    </w:lvl>
    <w:lvl w:ilvl="6" w:tplc="77D6E6B0">
      <w:numFmt w:val="bullet"/>
      <w:lvlText w:val="•"/>
      <w:lvlJc w:val="left"/>
      <w:pPr>
        <w:ind w:left="4718" w:hanging="360"/>
      </w:pPr>
      <w:rPr>
        <w:rFonts w:hint="default"/>
        <w:lang w:val="en-AU" w:eastAsia="en-AU" w:bidi="en-AU"/>
      </w:rPr>
    </w:lvl>
    <w:lvl w:ilvl="7" w:tplc="6F962598">
      <w:numFmt w:val="bullet"/>
      <w:lvlText w:val="•"/>
      <w:lvlJc w:val="left"/>
      <w:pPr>
        <w:ind w:left="5381" w:hanging="360"/>
      </w:pPr>
      <w:rPr>
        <w:rFonts w:hint="default"/>
        <w:lang w:val="en-AU" w:eastAsia="en-AU" w:bidi="en-AU"/>
      </w:rPr>
    </w:lvl>
    <w:lvl w:ilvl="8" w:tplc="AF641B26">
      <w:numFmt w:val="bullet"/>
      <w:lvlText w:val="•"/>
      <w:lvlJc w:val="left"/>
      <w:pPr>
        <w:ind w:left="6044" w:hanging="360"/>
      </w:pPr>
      <w:rPr>
        <w:rFonts w:hint="default"/>
        <w:lang w:val="en-AU" w:eastAsia="en-AU" w:bidi="en-AU"/>
      </w:rPr>
    </w:lvl>
  </w:abstractNum>
  <w:abstractNum w:abstractNumId="32" w15:restartNumberingAfterBreak="0">
    <w:nsid w:val="75FF1590"/>
    <w:multiLevelType w:val="multilevel"/>
    <w:tmpl w:val="40C40D8A"/>
    <w:lvl w:ilvl="0">
      <w:start w:val="1"/>
      <w:numFmt w:val="decimal"/>
      <w:lvlText w:val="%1"/>
      <w:lvlJc w:val="left"/>
      <w:pPr>
        <w:ind w:left="636" w:hanging="517"/>
      </w:pPr>
      <w:rPr>
        <w:rFonts w:ascii="Times New Roman" w:eastAsia="Times New Roman" w:hAnsi="Times New Roman" w:cs="Times New Roman" w:hint="default"/>
        <w:b/>
        <w:bCs/>
        <w:w w:val="101"/>
        <w:sz w:val="34"/>
        <w:szCs w:val="34"/>
      </w:rPr>
    </w:lvl>
    <w:lvl w:ilvl="1">
      <w:start w:val="1"/>
      <w:numFmt w:val="decimal"/>
      <w:lvlText w:val="%1.%2"/>
      <w:lvlJc w:val="left"/>
      <w:pPr>
        <w:ind w:left="765" w:hanging="646"/>
      </w:pPr>
      <w:rPr>
        <w:rFonts w:ascii="Times New Roman" w:eastAsia="Times New Roman" w:hAnsi="Times New Roman" w:cs="Times New Roman" w:hint="default"/>
        <w:b/>
        <w:bCs/>
        <w:w w:val="102"/>
        <w:sz w:val="28"/>
        <w:szCs w:val="28"/>
      </w:rPr>
    </w:lvl>
    <w:lvl w:ilvl="2">
      <w:start w:val="1"/>
      <w:numFmt w:val="decimal"/>
      <w:lvlText w:val="%1.%2.%3"/>
      <w:lvlJc w:val="left"/>
      <w:pPr>
        <w:ind w:left="837" w:hanging="718"/>
      </w:pPr>
      <w:rPr>
        <w:rFonts w:ascii="Times New Roman" w:eastAsia="Times New Roman" w:hAnsi="Times New Roman" w:cs="Times New Roman" w:hint="default"/>
        <w:b/>
        <w:bCs/>
        <w:w w:val="99"/>
        <w:sz w:val="24"/>
        <w:szCs w:val="24"/>
      </w:rPr>
    </w:lvl>
    <w:lvl w:ilvl="3">
      <w:numFmt w:val="bullet"/>
      <w:lvlText w:val="•"/>
      <w:lvlJc w:val="left"/>
      <w:pPr>
        <w:ind w:left="840" w:hanging="718"/>
      </w:pPr>
      <w:rPr>
        <w:rFonts w:hint="default"/>
      </w:rPr>
    </w:lvl>
    <w:lvl w:ilvl="4">
      <w:numFmt w:val="bullet"/>
      <w:lvlText w:val="•"/>
      <w:lvlJc w:val="left"/>
      <w:pPr>
        <w:ind w:left="2066" w:hanging="718"/>
      </w:pPr>
      <w:rPr>
        <w:rFonts w:hint="default"/>
      </w:rPr>
    </w:lvl>
    <w:lvl w:ilvl="5">
      <w:numFmt w:val="bullet"/>
      <w:lvlText w:val="•"/>
      <w:lvlJc w:val="left"/>
      <w:pPr>
        <w:ind w:left="3293" w:hanging="718"/>
      </w:pPr>
      <w:rPr>
        <w:rFonts w:hint="default"/>
      </w:rPr>
    </w:lvl>
    <w:lvl w:ilvl="6">
      <w:numFmt w:val="bullet"/>
      <w:lvlText w:val="•"/>
      <w:lvlJc w:val="left"/>
      <w:pPr>
        <w:ind w:left="4519" w:hanging="718"/>
      </w:pPr>
      <w:rPr>
        <w:rFonts w:hint="default"/>
      </w:rPr>
    </w:lvl>
    <w:lvl w:ilvl="7">
      <w:numFmt w:val="bullet"/>
      <w:lvlText w:val="•"/>
      <w:lvlJc w:val="left"/>
      <w:pPr>
        <w:ind w:left="5746" w:hanging="718"/>
      </w:pPr>
      <w:rPr>
        <w:rFonts w:hint="default"/>
      </w:rPr>
    </w:lvl>
    <w:lvl w:ilvl="8">
      <w:numFmt w:val="bullet"/>
      <w:lvlText w:val="•"/>
      <w:lvlJc w:val="left"/>
      <w:pPr>
        <w:ind w:left="6972" w:hanging="718"/>
      </w:pPr>
      <w:rPr>
        <w:rFonts w:hint="default"/>
      </w:rPr>
    </w:lvl>
  </w:abstractNum>
  <w:abstractNum w:abstractNumId="33" w15:restartNumberingAfterBreak="0">
    <w:nsid w:val="784F52ED"/>
    <w:multiLevelType w:val="hybridMultilevel"/>
    <w:tmpl w:val="3E56FE3E"/>
    <w:styleLink w:val="Lettered"/>
    <w:lvl w:ilvl="0" w:tplc="5B5C331C">
      <w:start w:val="1"/>
      <w:numFmt w:val="upperLetter"/>
      <w:lvlText w:val="%1."/>
      <w:lvlJc w:val="left"/>
      <w:pPr>
        <w:ind w:left="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59EEFE2">
      <w:start w:val="1"/>
      <w:numFmt w:val="upperLetter"/>
      <w:lvlText w:val="%2."/>
      <w:lvlJc w:val="left"/>
      <w:pPr>
        <w:ind w:left="1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2A12FC">
      <w:start w:val="1"/>
      <w:numFmt w:val="upperLetter"/>
      <w:lvlText w:val="%3."/>
      <w:lvlJc w:val="left"/>
      <w:pPr>
        <w:ind w:left="2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060A9EE">
      <w:start w:val="1"/>
      <w:numFmt w:val="upperLetter"/>
      <w:lvlText w:val="%4."/>
      <w:lvlJc w:val="left"/>
      <w:pPr>
        <w:ind w:left="3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2AC35BE">
      <w:start w:val="1"/>
      <w:numFmt w:val="upperLetter"/>
      <w:lvlText w:val="%5."/>
      <w:lvlJc w:val="left"/>
      <w:pPr>
        <w:ind w:left="4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4C23DE2">
      <w:start w:val="1"/>
      <w:numFmt w:val="upperLetter"/>
      <w:lvlText w:val="%6."/>
      <w:lvlJc w:val="left"/>
      <w:pPr>
        <w:ind w:left="5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51A2166">
      <w:start w:val="1"/>
      <w:numFmt w:val="upperLetter"/>
      <w:lvlText w:val="%7."/>
      <w:lvlJc w:val="left"/>
      <w:pPr>
        <w:ind w:left="6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95A572E">
      <w:start w:val="1"/>
      <w:numFmt w:val="upperLetter"/>
      <w:lvlText w:val="%8."/>
      <w:lvlJc w:val="left"/>
      <w:pPr>
        <w:ind w:left="7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9E8E790">
      <w:start w:val="1"/>
      <w:numFmt w:val="upperLetter"/>
      <w:lvlText w:val="%9."/>
      <w:lvlJc w:val="left"/>
      <w:pPr>
        <w:ind w:left="8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7B94304E"/>
    <w:multiLevelType w:val="multilevel"/>
    <w:tmpl w:val="1B12E8C2"/>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FAE0817"/>
    <w:multiLevelType w:val="hybridMultilevel"/>
    <w:tmpl w:val="BE42A4BE"/>
    <w:lvl w:ilvl="0" w:tplc="C0E0C8AA">
      <w:start w:val="1"/>
      <w:numFmt w:val="decimal"/>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26"/>
  </w:num>
  <w:num w:numId="3">
    <w:abstractNumId w:val="0"/>
  </w:num>
  <w:num w:numId="4">
    <w:abstractNumId w:val="29"/>
  </w:num>
  <w:num w:numId="5">
    <w:abstractNumId w:val="24"/>
  </w:num>
  <w:num w:numId="6">
    <w:abstractNumId w:val="7"/>
  </w:num>
  <w:num w:numId="7">
    <w:abstractNumId w:val="28"/>
  </w:num>
  <w:num w:numId="8">
    <w:abstractNumId w:val="23"/>
  </w:num>
  <w:num w:numId="9">
    <w:abstractNumId w:val="33"/>
  </w:num>
  <w:num w:numId="10">
    <w:abstractNumId w:val="3"/>
  </w:num>
  <w:num w:numId="11">
    <w:abstractNumId w:val="11"/>
  </w:num>
  <w:num w:numId="12">
    <w:abstractNumId w:val="32"/>
  </w:num>
  <w:num w:numId="13">
    <w:abstractNumId w:val="16"/>
  </w:num>
  <w:num w:numId="14">
    <w:abstractNumId w:val="5"/>
  </w:num>
  <w:num w:numId="15">
    <w:abstractNumId w:val="34"/>
  </w:num>
  <w:num w:numId="16">
    <w:abstractNumId w:val="22"/>
  </w:num>
  <w:num w:numId="17">
    <w:abstractNumId w:val="4"/>
  </w:num>
  <w:num w:numId="18">
    <w:abstractNumId w:val="17"/>
  </w:num>
  <w:num w:numId="19">
    <w:abstractNumId w:val="25"/>
  </w:num>
  <w:num w:numId="20">
    <w:abstractNumId w:val="19"/>
  </w:num>
  <w:num w:numId="21">
    <w:abstractNumId w:val="31"/>
  </w:num>
  <w:num w:numId="22">
    <w:abstractNumId w:val="1"/>
  </w:num>
  <w:num w:numId="23">
    <w:abstractNumId w:val="30"/>
  </w:num>
  <w:num w:numId="24">
    <w:abstractNumId w:val="15"/>
  </w:num>
  <w:num w:numId="25">
    <w:abstractNumId w:val="9"/>
  </w:num>
  <w:num w:numId="26">
    <w:abstractNumId w:val="20"/>
  </w:num>
  <w:num w:numId="27">
    <w:abstractNumId w:val="14"/>
  </w:num>
  <w:num w:numId="28">
    <w:abstractNumId w:val="2"/>
  </w:num>
  <w:num w:numId="29">
    <w:abstractNumId w:val="13"/>
  </w:num>
  <w:num w:numId="30">
    <w:abstractNumId w:val="8"/>
  </w:num>
  <w:num w:numId="31">
    <w:abstractNumId w:val="18"/>
  </w:num>
  <w:num w:numId="32">
    <w:abstractNumId w:val="35"/>
  </w:num>
  <w:num w:numId="33">
    <w:abstractNumId w:val="21"/>
  </w:num>
  <w:num w:numId="34">
    <w:abstractNumId w:val="10"/>
  </w:num>
  <w:num w:numId="35">
    <w:abstractNumId w:val="12"/>
  </w:num>
  <w:num w:numId="36">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B64"/>
    <w:rsid w:val="000034E9"/>
    <w:rsid w:val="000036D7"/>
    <w:rsid w:val="000105A0"/>
    <w:rsid w:val="00011861"/>
    <w:rsid w:val="00015EB9"/>
    <w:rsid w:val="00026EA2"/>
    <w:rsid w:val="000461CB"/>
    <w:rsid w:val="000465D3"/>
    <w:rsid w:val="00050ED6"/>
    <w:rsid w:val="000547EA"/>
    <w:rsid w:val="00071C14"/>
    <w:rsid w:val="00080D1F"/>
    <w:rsid w:val="000B2007"/>
    <w:rsid w:val="000B295E"/>
    <w:rsid w:val="000B3A26"/>
    <w:rsid w:val="000B52BE"/>
    <w:rsid w:val="000B5AC4"/>
    <w:rsid w:val="000C0293"/>
    <w:rsid w:val="000C30C6"/>
    <w:rsid w:val="000C3785"/>
    <w:rsid w:val="000C4F69"/>
    <w:rsid w:val="000C5AB1"/>
    <w:rsid w:val="000C5C8C"/>
    <w:rsid w:val="000C63F0"/>
    <w:rsid w:val="000D5ABF"/>
    <w:rsid w:val="000E1A41"/>
    <w:rsid w:val="000F6104"/>
    <w:rsid w:val="000F65E7"/>
    <w:rsid w:val="000F6F5D"/>
    <w:rsid w:val="00107D8C"/>
    <w:rsid w:val="00115E15"/>
    <w:rsid w:val="0012713F"/>
    <w:rsid w:val="00145F9C"/>
    <w:rsid w:val="00151F16"/>
    <w:rsid w:val="00154132"/>
    <w:rsid w:val="001638CE"/>
    <w:rsid w:val="001648BE"/>
    <w:rsid w:val="0016679B"/>
    <w:rsid w:val="001757F3"/>
    <w:rsid w:val="00176909"/>
    <w:rsid w:val="00176B59"/>
    <w:rsid w:val="0019071C"/>
    <w:rsid w:val="001977D3"/>
    <w:rsid w:val="001A4C8D"/>
    <w:rsid w:val="001A510B"/>
    <w:rsid w:val="001A6F2E"/>
    <w:rsid w:val="001C176D"/>
    <w:rsid w:val="001C660B"/>
    <w:rsid w:val="001D2D6E"/>
    <w:rsid w:val="001D3342"/>
    <w:rsid w:val="001D35AB"/>
    <w:rsid w:val="001D3965"/>
    <w:rsid w:val="002012E7"/>
    <w:rsid w:val="002024C8"/>
    <w:rsid w:val="00216CC4"/>
    <w:rsid w:val="00227332"/>
    <w:rsid w:val="002300BA"/>
    <w:rsid w:val="00234B7A"/>
    <w:rsid w:val="00242002"/>
    <w:rsid w:val="002510C1"/>
    <w:rsid w:val="00251901"/>
    <w:rsid w:val="00253686"/>
    <w:rsid w:val="00262027"/>
    <w:rsid w:val="0026549F"/>
    <w:rsid w:val="00265F52"/>
    <w:rsid w:val="002717F1"/>
    <w:rsid w:val="0028161D"/>
    <w:rsid w:val="00282A45"/>
    <w:rsid w:val="00291B31"/>
    <w:rsid w:val="0029544F"/>
    <w:rsid w:val="00297049"/>
    <w:rsid w:val="002C1012"/>
    <w:rsid w:val="002C135A"/>
    <w:rsid w:val="002C2231"/>
    <w:rsid w:val="002C33CE"/>
    <w:rsid w:val="002D259B"/>
    <w:rsid w:val="002D7B71"/>
    <w:rsid w:val="002F240B"/>
    <w:rsid w:val="00301D80"/>
    <w:rsid w:val="00306A11"/>
    <w:rsid w:val="00310371"/>
    <w:rsid w:val="00320CEE"/>
    <w:rsid w:val="00321E5D"/>
    <w:rsid w:val="003242FD"/>
    <w:rsid w:val="003244B0"/>
    <w:rsid w:val="0033032C"/>
    <w:rsid w:val="00332454"/>
    <w:rsid w:val="003334B1"/>
    <w:rsid w:val="00337A14"/>
    <w:rsid w:val="00343979"/>
    <w:rsid w:val="00353D97"/>
    <w:rsid w:val="00360C41"/>
    <w:rsid w:val="0036665F"/>
    <w:rsid w:val="0037063A"/>
    <w:rsid w:val="00371ECA"/>
    <w:rsid w:val="003750AA"/>
    <w:rsid w:val="0037607D"/>
    <w:rsid w:val="0038221D"/>
    <w:rsid w:val="003951FC"/>
    <w:rsid w:val="003967F9"/>
    <w:rsid w:val="003976D9"/>
    <w:rsid w:val="003A2FB5"/>
    <w:rsid w:val="003A42A8"/>
    <w:rsid w:val="003A4492"/>
    <w:rsid w:val="003A6FEC"/>
    <w:rsid w:val="003B1245"/>
    <w:rsid w:val="003C0961"/>
    <w:rsid w:val="003D0DBE"/>
    <w:rsid w:val="003D57D5"/>
    <w:rsid w:val="003D6B08"/>
    <w:rsid w:val="003E2541"/>
    <w:rsid w:val="003E3F04"/>
    <w:rsid w:val="003E54B0"/>
    <w:rsid w:val="003E6F12"/>
    <w:rsid w:val="003F2D70"/>
    <w:rsid w:val="004264A2"/>
    <w:rsid w:val="00427CA2"/>
    <w:rsid w:val="00431552"/>
    <w:rsid w:val="0043181D"/>
    <w:rsid w:val="0045137A"/>
    <w:rsid w:val="00451C64"/>
    <w:rsid w:val="00454103"/>
    <w:rsid w:val="00457A85"/>
    <w:rsid w:val="004601F0"/>
    <w:rsid w:val="00460C04"/>
    <w:rsid w:val="0046169E"/>
    <w:rsid w:val="0046523E"/>
    <w:rsid w:val="0048677E"/>
    <w:rsid w:val="00490A2A"/>
    <w:rsid w:val="004A29E0"/>
    <w:rsid w:val="004A621B"/>
    <w:rsid w:val="004B2DBD"/>
    <w:rsid w:val="004B60D1"/>
    <w:rsid w:val="004B6A13"/>
    <w:rsid w:val="004C1842"/>
    <w:rsid w:val="004C2EC8"/>
    <w:rsid w:val="005042C3"/>
    <w:rsid w:val="005075EC"/>
    <w:rsid w:val="00515EA8"/>
    <w:rsid w:val="0051735B"/>
    <w:rsid w:val="00520219"/>
    <w:rsid w:val="0053541C"/>
    <w:rsid w:val="005464BC"/>
    <w:rsid w:val="005507C8"/>
    <w:rsid w:val="00551731"/>
    <w:rsid w:val="00557332"/>
    <w:rsid w:val="00557B60"/>
    <w:rsid w:val="0056218C"/>
    <w:rsid w:val="005715A7"/>
    <w:rsid w:val="00572B57"/>
    <w:rsid w:val="00582D27"/>
    <w:rsid w:val="00583D38"/>
    <w:rsid w:val="00585EB4"/>
    <w:rsid w:val="00592726"/>
    <w:rsid w:val="0059475E"/>
    <w:rsid w:val="00595829"/>
    <w:rsid w:val="00596211"/>
    <w:rsid w:val="00596723"/>
    <w:rsid w:val="005967FD"/>
    <w:rsid w:val="005A16E9"/>
    <w:rsid w:val="005A3B02"/>
    <w:rsid w:val="005B0D96"/>
    <w:rsid w:val="005B234B"/>
    <w:rsid w:val="005B3CDA"/>
    <w:rsid w:val="005C121A"/>
    <w:rsid w:val="005C353F"/>
    <w:rsid w:val="005E4F6E"/>
    <w:rsid w:val="005F5978"/>
    <w:rsid w:val="00602CC6"/>
    <w:rsid w:val="00606A27"/>
    <w:rsid w:val="00607728"/>
    <w:rsid w:val="0060792E"/>
    <w:rsid w:val="0061634F"/>
    <w:rsid w:val="00616EC9"/>
    <w:rsid w:val="00617359"/>
    <w:rsid w:val="00620F90"/>
    <w:rsid w:val="006227D1"/>
    <w:rsid w:val="00630290"/>
    <w:rsid w:val="00635C18"/>
    <w:rsid w:val="006565C6"/>
    <w:rsid w:val="0066202E"/>
    <w:rsid w:val="00672BF5"/>
    <w:rsid w:val="0067793E"/>
    <w:rsid w:val="00690FCC"/>
    <w:rsid w:val="00691834"/>
    <w:rsid w:val="006919AF"/>
    <w:rsid w:val="0069502D"/>
    <w:rsid w:val="006974A3"/>
    <w:rsid w:val="006A3B93"/>
    <w:rsid w:val="006B0295"/>
    <w:rsid w:val="006C40D9"/>
    <w:rsid w:val="006C420D"/>
    <w:rsid w:val="006C595A"/>
    <w:rsid w:val="006D15CA"/>
    <w:rsid w:val="006E0C30"/>
    <w:rsid w:val="00705169"/>
    <w:rsid w:val="00740C4B"/>
    <w:rsid w:val="00741EA3"/>
    <w:rsid w:val="00742832"/>
    <w:rsid w:val="00750ADF"/>
    <w:rsid w:val="00755C4B"/>
    <w:rsid w:val="00756B72"/>
    <w:rsid w:val="00756E9E"/>
    <w:rsid w:val="00761EBB"/>
    <w:rsid w:val="00765EAC"/>
    <w:rsid w:val="00766065"/>
    <w:rsid w:val="00780155"/>
    <w:rsid w:val="0078054D"/>
    <w:rsid w:val="00784A72"/>
    <w:rsid w:val="00794FEB"/>
    <w:rsid w:val="00797F99"/>
    <w:rsid w:val="007A0529"/>
    <w:rsid w:val="007A403E"/>
    <w:rsid w:val="007A5AE6"/>
    <w:rsid w:val="007B0A77"/>
    <w:rsid w:val="007B3621"/>
    <w:rsid w:val="007B51B0"/>
    <w:rsid w:val="007C51E8"/>
    <w:rsid w:val="007C7535"/>
    <w:rsid w:val="007D0961"/>
    <w:rsid w:val="007E6DA8"/>
    <w:rsid w:val="007F2535"/>
    <w:rsid w:val="007F4304"/>
    <w:rsid w:val="007F6D3E"/>
    <w:rsid w:val="00801385"/>
    <w:rsid w:val="00807B41"/>
    <w:rsid w:val="00811324"/>
    <w:rsid w:val="00815140"/>
    <w:rsid w:val="00816849"/>
    <w:rsid w:val="00830147"/>
    <w:rsid w:val="008333FA"/>
    <w:rsid w:val="008356BA"/>
    <w:rsid w:val="00835AB6"/>
    <w:rsid w:val="0084229D"/>
    <w:rsid w:val="00844804"/>
    <w:rsid w:val="00856624"/>
    <w:rsid w:val="00857080"/>
    <w:rsid w:val="00857E03"/>
    <w:rsid w:val="00862133"/>
    <w:rsid w:val="00862236"/>
    <w:rsid w:val="008662C2"/>
    <w:rsid w:val="00870534"/>
    <w:rsid w:val="00876C52"/>
    <w:rsid w:val="00881CA6"/>
    <w:rsid w:val="00887086"/>
    <w:rsid w:val="008A7526"/>
    <w:rsid w:val="008B62CF"/>
    <w:rsid w:val="008D2B64"/>
    <w:rsid w:val="008D420B"/>
    <w:rsid w:val="008E29F7"/>
    <w:rsid w:val="008E5405"/>
    <w:rsid w:val="008E7A84"/>
    <w:rsid w:val="008F4E57"/>
    <w:rsid w:val="008F7EE6"/>
    <w:rsid w:val="00900DA9"/>
    <w:rsid w:val="0090167F"/>
    <w:rsid w:val="00910605"/>
    <w:rsid w:val="009141D2"/>
    <w:rsid w:val="00916389"/>
    <w:rsid w:val="00933D2A"/>
    <w:rsid w:val="009402F0"/>
    <w:rsid w:val="00942913"/>
    <w:rsid w:val="00942C76"/>
    <w:rsid w:val="0094513E"/>
    <w:rsid w:val="00946726"/>
    <w:rsid w:val="00951E91"/>
    <w:rsid w:val="0096639A"/>
    <w:rsid w:val="00973A1A"/>
    <w:rsid w:val="00975324"/>
    <w:rsid w:val="00980D2C"/>
    <w:rsid w:val="009857E7"/>
    <w:rsid w:val="009862B5"/>
    <w:rsid w:val="00986C1F"/>
    <w:rsid w:val="00990DA2"/>
    <w:rsid w:val="009A24A7"/>
    <w:rsid w:val="009A2BFB"/>
    <w:rsid w:val="009B47E1"/>
    <w:rsid w:val="009B53F0"/>
    <w:rsid w:val="009B6CB6"/>
    <w:rsid w:val="009D453E"/>
    <w:rsid w:val="009D5F55"/>
    <w:rsid w:val="009F2FDA"/>
    <w:rsid w:val="009F6299"/>
    <w:rsid w:val="009F635F"/>
    <w:rsid w:val="00A10380"/>
    <w:rsid w:val="00A325A6"/>
    <w:rsid w:val="00A34DEA"/>
    <w:rsid w:val="00A365FB"/>
    <w:rsid w:val="00A402D1"/>
    <w:rsid w:val="00A60619"/>
    <w:rsid w:val="00A711E4"/>
    <w:rsid w:val="00A83700"/>
    <w:rsid w:val="00A857A1"/>
    <w:rsid w:val="00A92160"/>
    <w:rsid w:val="00A92FB5"/>
    <w:rsid w:val="00A9752F"/>
    <w:rsid w:val="00AB12DE"/>
    <w:rsid w:val="00AC36B4"/>
    <w:rsid w:val="00AC3E00"/>
    <w:rsid w:val="00AC43B6"/>
    <w:rsid w:val="00AC4782"/>
    <w:rsid w:val="00AC50DD"/>
    <w:rsid w:val="00AC5EB3"/>
    <w:rsid w:val="00AD1A75"/>
    <w:rsid w:val="00AD3A1C"/>
    <w:rsid w:val="00AD4231"/>
    <w:rsid w:val="00AD70F3"/>
    <w:rsid w:val="00AE0093"/>
    <w:rsid w:val="00AE589F"/>
    <w:rsid w:val="00AE5978"/>
    <w:rsid w:val="00B00AA1"/>
    <w:rsid w:val="00B07D72"/>
    <w:rsid w:val="00B207AC"/>
    <w:rsid w:val="00B27AF6"/>
    <w:rsid w:val="00B3546A"/>
    <w:rsid w:val="00B41D1D"/>
    <w:rsid w:val="00B4372B"/>
    <w:rsid w:val="00B43F79"/>
    <w:rsid w:val="00B51EED"/>
    <w:rsid w:val="00B531C3"/>
    <w:rsid w:val="00B54DA0"/>
    <w:rsid w:val="00B55847"/>
    <w:rsid w:val="00B73354"/>
    <w:rsid w:val="00B83A6A"/>
    <w:rsid w:val="00B83F21"/>
    <w:rsid w:val="00B843D2"/>
    <w:rsid w:val="00B8573A"/>
    <w:rsid w:val="00B8772F"/>
    <w:rsid w:val="00BA278B"/>
    <w:rsid w:val="00BA670D"/>
    <w:rsid w:val="00BB4011"/>
    <w:rsid w:val="00BB6259"/>
    <w:rsid w:val="00BC062E"/>
    <w:rsid w:val="00BC59F2"/>
    <w:rsid w:val="00BC5C38"/>
    <w:rsid w:val="00BD0915"/>
    <w:rsid w:val="00BD3A7E"/>
    <w:rsid w:val="00BF7EF4"/>
    <w:rsid w:val="00C0233A"/>
    <w:rsid w:val="00C0399B"/>
    <w:rsid w:val="00C062D6"/>
    <w:rsid w:val="00C06967"/>
    <w:rsid w:val="00C112A7"/>
    <w:rsid w:val="00C14AC4"/>
    <w:rsid w:val="00C33263"/>
    <w:rsid w:val="00C3644C"/>
    <w:rsid w:val="00C56045"/>
    <w:rsid w:val="00C57952"/>
    <w:rsid w:val="00C64F82"/>
    <w:rsid w:val="00C66127"/>
    <w:rsid w:val="00C7447E"/>
    <w:rsid w:val="00C76665"/>
    <w:rsid w:val="00C76BF3"/>
    <w:rsid w:val="00CA424A"/>
    <w:rsid w:val="00CA583D"/>
    <w:rsid w:val="00CA75AF"/>
    <w:rsid w:val="00CB03C7"/>
    <w:rsid w:val="00CB1818"/>
    <w:rsid w:val="00CB1B34"/>
    <w:rsid w:val="00CB4B86"/>
    <w:rsid w:val="00CC03B9"/>
    <w:rsid w:val="00CC1501"/>
    <w:rsid w:val="00CC2FF9"/>
    <w:rsid w:val="00CC30E4"/>
    <w:rsid w:val="00CC7767"/>
    <w:rsid w:val="00CE0A82"/>
    <w:rsid w:val="00CE2FBD"/>
    <w:rsid w:val="00CE7886"/>
    <w:rsid w:val="00CF7015"/>
    <w:rsid w:val="00CF7486"/>
    <w:rsid w:val="00CF7843"/>
    <w:rsid w:val="00D01326"/>
    <w:rsid w:val="00D15910"/>
    <w:rsid w:val="00D16BCE"/>
    <w:rsid w:val="00D1717D"/>
    <w:rsid w:val="00D20EB6"/>
    <w:rsid w:val="00D431D7"/>
    <w:rsid w:val="00D43E77"/>
    <w:rsid w:val="00D7588C"/>
    <w:rsid w:val="00D80A2E"/>
    <w:rsid w:val="00D8231F"/>
    <w:rsid w:val="00D8382D"/>
    <w:rsid w:val="00D83EB8"/>
    <w:rsid w:val="00D854A0"/>
    <w:rsid w:val="00D86617"/>
    <w:rsid w:val="00D91A2F"/>
    <w:rsid w:val="00D92943"/>
    <w:rsid w:val="00D9398B"/>
    <w:rsid w:val="00D95440"/>
    <w:rsid w:val="00D969FE"/>
    <w:rsid w:val="00DA1E63"/>
    <w:rsid w:val="00DA29E7"/>
    <w:rsid w:val="00DA69A9"/>
    <w:rsid w:val="00DB2E97"/>
    <w:rsid w:val="00DB3DEB"/>
    <w:rsid w:val="00DD03B0"/>
    <w:rsid w:val="00DD74D7"/>
    <w:rsid w:val="00DE41D1"/>
    <w:rsid w:val="00DE5EBE"/>
    <w:rsid w:val="00DF0891"/>
    <w:rsid w:val="00DF6DBF"/>
    <w:rsid w:val="00E205C4"/>
    <w:rsid w:val="00E2262E"/>
    <w:rsid w:val="00E23088"/>
    <w:rsid w:val="00E323A5"/>
    <w:rsid w:val="00E34CB3"/>
    <w:rsid w:val="00E368DC"/>
    <w:rsid w:val="00E374B2"/>
    <w:rsid w:val="00E4596E"/>
    <w:rsid w:val="00E474D9"/>
    <w:rsid w:val="00E52E8C"/>
    <w:rsid w:val="00E6348E"/>
    <w:rsid w:val="00E710D8"/>
    <w:rsid w:val="00E742FB"/>
    <w:rsid w:val="00E75003"/>
    <w:rsid w:val="00E82F18"/>
    <w:rsid w:val="00E8615A"/>
    <w:rsid w:val="00E919EE"/>
    <w:rsid w:val="00E93665"/>
    <w:rsid w:val="00EA45B7"/>
    <w:rsid w:val="00EB1DD0"/>
    <w:rsid w:val="00EB7DA9"/>
    <w:rsid w:val="00ED66F5"/>
    <w:rsid w:val="00EE4FF2"/>
    <w:rsid w:val="00EE5668"/>
    <w:rsid w:val="00EF14CA"/>
    <w:rsid w:val="00EF3BC6"/>
    <w:rsid w:val="00EF7294"/>
    <w:rsid w:val="00F00E31"/>
    <w:rsid w:val="00F0709D"/>
    <w:rsid w:val="00F30DDD"/>
    <w:rsid w:val="00F325F7"/>
    <w:rsid w:val="00F35366"/>
    <w:rsid w:val="00F35A30"/>
    <w:rsid w:val="00F431BC"/>
    <w:rsid w:val="00F52EDC"/>
    <w:rsid w:val="00F53173"/>
    <w:rsid w:val="00F55145"/>
    <w:rsid w:val="00F55CA8"/>
    <w:rsid w:val="00F6114E"/>
    <w:rsid w:val="00F61AD0"/>
    <w:rsid w:val="00F63C58"/>
    <w:rsid w:val="00F647A5"/>
    <w:rsid w:val="00F66CD5"/>
    <w:rsid w:val="00F767D2"/>
    <w:rsid w:val="00F7753D"/>
    <w:rsid w:val="00F81EA4"/>
    <w:rsid w:val="00F95DD5"/>
    <w:rsid w:val="00FA49A0"/>
    <w:rsid w:val="00FA6F36"/>
    <w:rsid w:val="00FB1BD7"/>
    <w:rsid w:val="00FB1E3B"/>
    <w:rsid w:val="00FB7F21"/>
    <w:rsid w:val="00FC2BC6"/>
    <w:rsid w:val="00FC43CB"/>
    <w:rsid w:val="00FD0F5D"/>
    <w:rsid w:val="00FE12E1"/>
    <w:rsid w:val="00FE31D7"/>
    <w:rsid w:val="00FE7CD4"/>
    <w:rsid w:val="00FF53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63AD32-2F51-4FF2-B239-891A7648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B64"/>
    <w:pPr>
      <w:spacing w:after="160"/>
    </w:pPr>
    <w:rPr>
      <w:color w:val="262626"/>
      <w:sz w:val="24"/>
      <w:szCs w:val="22"/>
      <w:lang w:eastAsia="en-US"/>
    </w:rPr>
  </w:style>
  <w:style w:type="paragraph" w:styleId="Heading1">
    <w:name w:val="heading 1"/>
    <w:basedOn w:val="Normal"/>
    <w:next w:val="Normal"/>
    <w:link w:val="Heading1Char"/>
    <w:uiPriority w:val="9"/>
    <w:qFormat/>
    <w:rsid w:val="008D2B64"/>
    <w:pPr>
      <w:keepNext/>
      <w:outlineLvl w:val="0"/>
    </w:pPr>
    <w:rPr>
      <w:rFonts w:eastAsia="Times New Roman"/>
      <w:b/>
      <w:bCs/>
      <w:kern w:val="32"/>
      <w:sz w:val="40"/>
      <w:szCs w:val="32"/>
    </w:rPr>
  </w:style>
  <w:style w:type="paragraph" w:styleId="Heading2">
    <w:name w:val="heading 2"/>
    <w:basedOn w:val="Normal"/>
    <w:next w:val="Normal"/>
    <w:link w:val="Heading2Char"/>
    <w:uiPriority w:val="9"/>
    <w:unhideWhenUsed/>
    <w:qFormat/>
    <w:rsid w:val="008D2B64"/>
    <w:pPr>
      <w:keepNext/>
      <w:outlineLvl w:val="1"/>
    </w:pPr>
    <w:rPr>
      <w:rFonts w:eastAsia="Times New Roman"/>
      <w:b/>
      <w:bCs/>
      <w:iCs/>
      <w:sz w:val="28"/>
      <w:szCs w:val="28"/>
    </w:rPr>
  </w:style>
  <w:style w:type="paragraph" w:styleId="Heading3">
    <w:name w:val="heading 3"/>
    <w:basedOn w:val="Normal"/>
    <w:next w:val="Normal"/>
    <w:link w:val="Heading3Char"/>
    <w:uiPriority w:val="9"/>
    <w:unhideWhenUsed/>
    <w:qFormat/>
    <w:rsid w:val="008D2B64"/>
    <w:pPr>
      <w:keepNext/>
      <w:outlineLvl w:val="2"/>
    </w:pPr>
    <w:rPr>
      <w:rFonts w:eastAsia="Times New Roman"/>
      <w:b/>
      <w:bCs/>
      <w:szCs w:val="26"/>
    </w:rPr>
  </w:style>
  <w:style w:type="paragraph" w:styleId="Heading4">
    <w:name w:val="heading 4"/>
    <w:basedOn w:val="Normal"/>
    <w:next w:val="Normal"/>
    <w:link w:val="Heading4Char"/>
    <w:uiPriority w:val="9"/>
    <w:unhideWhenUsed/>
    <w:qFormat/>
    <w:rsid w:val="008D2B64"/>
    <w:pPr>
      <w:keepNext/>
      <w:outlineLvl w:val="3"/>
    </w:pPr>
    <w:rPr>
      <w:rFonts w:eastAsia="Times New Roman"/>
      <w:bCs/>
      <w:i/>
      <w:szCs w:val="28"/>
    </w:rPr>
  </w:style>
  <w:style w:type="paragraph" w:styleId="Heading5">
    <w:name w:val="heading 5"/>
    <w:basedOn w:val="Normal"/>
    <w:next w:val="Normal"/>
    <w:link w:val="Heading5Char"/>
    <w:uiPriority w:val="9"/>
    <w:semiHidden/>
    <w:unhideWhenUsed/>
    <w:rsid w:val="00CE788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E788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2B64"/>
    <w:rPr>
      <w:rFonts w:eastAsia="Times New Roman" w:cs="Times New Roman"/>
      <w:b/>
      <w:bCs/>
      <w:color w:val="262626"/>
      <w:kern w:val="32"/>
      <w:sz w:val="40"/>
      <w:szCs w:val="32"/>
      <w:lang w:eastAsia="en-US"/>
    </w:rPr>
  </w:style>
  <w:style w:type="character" w:customStyle="1" w:styleId="Heading2Char">
    <w:name w:val="Heading 2 Char"/>
    <w:link w:val="Heading2"/>
    <w:uiPriority w:val="9"/>
    <w:rsid w:val="008D2B64"/>
    <w:rPr>
      <w:rFonts w:eastAsia="Times New Roman" w:cs="Times New Roman"/>
      <w:b/>
      <w:bCs/>
      <w:iCs/>
      <w:color w:val="262626"/>
      <w:sz w:val="28"/>
      <w:szCs w:val="28"/>
      <w:lang w:eastAsia="en-US"/>
    </w:rPr>
  </w:style>
  <w:style w:type="character" w:customStyle="1" w:styleId="Heading3Char">
    <w:name w:val="Heading 3 Char"/>
    <w:link w:val="Heading3"/>
    <w:uiPriority w:val="9"/>
    <w:rsid w:val="008D2B64"/>
    <w:rPr>
      <w:rFonts w:eastAsia="Times New Roman" w:cs="Times New Roman"/>
      <w:b/>
      <w:bCs/>
      <w:color w:val="262626"/>
      <w:sz w:val="24"/>
      <w:szCs w:val="26"/>
      <w:lang w:eastAsia="en-US"/>
    </w:rPr>
  </w:style>
  <w:style w:type="character" w:customStyle="1" w:styleId="Heading4Char">
    <w:name w:val="Heading 4 Char"/>
    <w:link w:val="Heading4"/>
    <w:uiPriority w:val="9"/>
    <w:rsid w:val="008D2B64"/>
    <w:rPr>
      <w:rFonts w:eastAsia="Times New Roman" w:cs="Times New Roman"/>
      <w:bCs/>
      <w:i/>
      <w:color w:val="262626"/>
      <w:sz w:val="24"/>
      <w:szCs w:val="28"/>
      <w:lang w:eastAsia="en-US"/>
    </w:rPr>
  </w:style>
  <w:style w:type="paragraph" w:styleId="Title">
    <w:name w:val="Title"/>
    <w:basedOn w:val="Normal"/>
    <w:next w:val="Normal"/>
    <w:link w:val="TitleChar"/>
    <w:uiPriority w:val="10"/>
    <w:qFormat/>
    <w:rsid w:val="008D2B64"/>
    <w:pPr>
      <w:jc w:val="center"/>
      <w:outlineLvl w:val="0"/>
    </w:pPr>
    <w:rPr>
      <w:rFonts w:eastAsia="Times New Roman"/>
      <w:b/>
      <w:bCs/>
      <w:kern w:val="28"/>
      <w:sz w:val="44"/>
      <w:szCs w:val="32"/>
    </w:rPr>
  </w:style>
  <w:style w:type="character" w:customStyle="1" w:styleId="TitleChar">
    <w:name w:val="Title Char"/>
    <w:link w:val="Title"/>
    <w:uiPriority w:val="10"/>
    <w:rsid w:val="008D2B64"/>
    <w:rPr>
      <w:rFonts w:eastAsia="Times New Roman" w:cs="Times New Roman"/>
      <w:b/>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s">
    <w:name w:val="Footers"/>
    <w:basedOn w:val="Subtitle"/>
    <w:link w:val="FootersChar"/>
    <w:qFormat/>
    <w:rsid w:val="008D2B64"/>
    <w:pPr>
      <w:spacing w:after="160"/>
      <w:jc w:val="left"/>
    </w:pPr>
    <w:rPr>
      <w:rFonts w:ascii="Calibri" w:hAnsi="Calibri"/>
      <w:color w:val="808080"/>
      <w:sz w:val="16"/>
    </w:rPr>
  </w:style>
  <w:style w:type="paragraph" w:customStyle="1" w:styleId="Bullets">
    <w:name w:val="Bullets"/>
    <w:basedOn w:val="Footers"/>
    <w:link w:val="BulletsChar"/>
    <w:qFormat/>
    <w:rsid w:val="001D3342"/>
    <w:pPr>
      <w:numPr>
        <w:numId w:val="1"/>
      </w:numPr>
      <w:ind w:left="714" w:hanging="357"/>
      <w:contextualSpacing/>
    </w:pPr>
    <w:rPr>
      <w:color w:val="262626"/>
      <w:sz w:val="24"/>
    </w:rPr>
  </w:style>
  <w:style w:type="character" w:customStyle="1" w:styleId="FootersChar">
    <w:name w:val="Footers Char"/>
    <w:link w:val="Footers"/>
    <w:rsid w:val="008D2B64"/>
    <w:rPr>
      <w:rFonts w:ascii="Calibri Light" w:eastAsia="Times New Roman" w:hAnsi="Calibri Light" w:cs="Times New Roman"/>
      <w:color w:val="808080"/>
      <w:sz w:val="16"/>
      <w:szCs w:val="24"/>
      <w:lang w:eastAsia="en-US"/>
    </w:rPr>
  </w:style>
  <w:style w:type="paragraph" w:customStyle="1" w:styleId="FigureTitles">
    <w:name w:val="Figure Titles"/>
    <w:basedOn w:val="Bullets"/>
    <w:link w:val="FigureTitlesChar"/>
    <w:qFormat/>
    <w:rsid w:val="00FB1E3B"/>
    <w:pPr>
      <w:numPr>
        <w:numId w:val="0"/>
      </w:numPr>
      <w:jc w:val="center"/>
    </w:pPr>
    <w:rPr>
      <w:b/>
      <w:sz w:val="20"/>
    </w:rPr>
  </w:style>
  <w:style w:type="character" w:customStyle="1" w:styleId="BulletsChar">
    <w:name w:val="Bullets Char"/>
    <w:link w:val="Bullets"/>
    <w:rsid w:val="001D3342"/>
    <w:rPr>
      <w:rFonts w:eastAsia="Times New Roman"/>
      <w:color w:val="262626"/>
      <w:sz w:val="24"/>
      <w:szCs w:val="24"/>
      <w:lang w:eastAsia="en-US"/>
    </w:rPr>
  </w:style>
  <w:style w:type="paragraph" w:customStyle="1" w:styleId="TableTitles">
    <w:name w:val="Table Titles"/>
    <w:basedOn w:val="FigureTitles"/>
    <w:link w:val="TableTitlesChar"/>
    <w:qFormat/>
    <w:rsid w:val="00FB1E3B"/>
    <w:rPr>
      <w:sz w:val="24"/>
    </w:rPr>
  </w:style>
  <w:style w:type="character" w:customStyle="1" w:styleId="FigureTitlesChar">
    <w:name w:val="Figure Titles Char"/>
    <w:link w:val="FigureTitles"/>
    <w:rsid w:val="00FB1E3B"/>
    <w:rPr>
      <w:rFonts w:ascii="Calibri Light" w:eastAsia="Times New Roman" w:hAnsi="Calibri Light" w:cs="Times New Roman"/>
      <w:b/>
      <w:color w:val="262626"/>
      <w:sz w:val="24"/>
      <w:szCs w:val="24"/>
      <w:lang w:eastAsia="en-US"/>
    </w:rPr>
  </w:style>
  <w:style w:type="paragraph" w:customStyle="1" w:styleId="TableText">
    <w:name w:val="Table Text"/>
    <w:basedOn w:val="TableTitles"/>
    <w:link w:val="TableTextChar"/>
    <w:qFormat/>
    <w:rsid w:val="00FB1E3B"/>
    <w:pPr>
      <w:spacing w:after="0"/>
      <w:jc w:val="left"/>
    </w:pPr>
    <w:rPr>
      <w:b w:val="0"/>
      <w:sz w:val="20"/>
    </w:rPr>
  </w:style>
  <w:style w:type="character" w:customStyle="1" w:styleId="TableTitlesChar">
    <w:name w:val="Table Titles Char"/>
    <w:basedOn w:val="FigureTitlesChar"/>
    <w:link w:val="TableTitles"/>
    <w:rsid w:val="00FB1E3B"/>
    <w:rPr>
      <w:rFonts w:ascii="Calibri Light" w:eastAsia="Times New Roman" w:hAnsi="Calibri Light" w:cs="Times New Roman"/>
      <w:b/>
      <w:color w:val="262626"/>
      <w:sz w:val="24"/>
      <w:szCs w:val="24"/>
      <w:lang w:eastAsia="en-US"/>
    </w:rPr>
  </w:style>
  <w:style w:type="table" w:styleId="TableGrid">
    <w:name w:val="Table Grid"/>
    <w:basedOn w:val="TableNormal"/>
    <w:uiPriority w:val="9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rsid w:val="00FB1E3B"/>
    <w:rPr>
      <w:rFonts w:ascii="Calibri Light" w:eastAsia="Times New Roman" w:hAnsi="Calibri Light" w:cs="Times New Roman"/>
      <w:b w:val="0"/>
      <w:color w:val="262626"/>
      <w:sz w:val="24"/>
      <w:szCs w:val="24"/>
      <w:lang w:eastAsia="en-US"/>
    </w:rPr>
  </w:style>
  <w:style w:type="paragraph" w:styleId="Header">
    <w:name w:val="header"/>
    <w:basedOn w:val="Normal"/>
    <w:link w:val="HeaderChar"/>
    <w:uiPriority w:val="99"/>
    <w:unhideWhenUsed/>
    <w:rsid w:val="003E54B0"/>
    <w:pPr>
      <w:tabs>
        <w:tab w:val="center" w:pos="4513"/>
        <w:tab w:val="right" w:pos="9026"/>
      </w:tabs>
      <w:spacing w:after="0"/>
    </w:pPr>
  </w:style>
  <w:style w:type="character" w:customStyle="1" w:styleId="HeaderChar">
    <w:name w:val="Header Char"/>
    <w:basedOn w:val="DefaultParagraphFont"/>
    <w:link w:val="Header"/>
    <w:uiPriority w:val="99"/>
    <w:rsid w:val="003E54B0"/>
    <w:rPr>
      <w:color w:val="262626"/>
      <w:sz w:val="24"/>
      <w:szCs w:val="22"/>
      <w:lang w:eastAsia="en-US"/>
    </w:rPr>
  </w:style>
  <w:style w:type="paragraph" w:styleId="Footer">
    <w:name w:val="footer"/>
    <w:basedOn w:val="Normal"/>
    <w:link w:val="FooterChar"/>
    <w:uiPriority w:val="99"/>
    <w:unhideWhenUsed/>
    <w:rsid w:val="003E54B0"/>
    <w:pPr>
      <w:tabs>
        <w:tab w:val="center" w:pos="4513"/>
        <w:tab w:val="right" w:pos="9026"/>
      </w:tabs>
      <w:spacing w:after="0"/>
    </w:pPr>
  </w:style>
  <w:style w:type="character" w:customStyle="1" w:styleId="FooterChar">
    <w:name w:val="Footer Char"/>
    <w:basedOn w:val="DefaultParagraphFont"/>
    <w:link w:val="Footer"/>
    <w:uiPriority w:val="99"/>
    <w:rsid w:val="003E54B0"/>
    <w:rPr>
      <w:color w:val="262626"/>
      <w:sz w:val="24"/>
      <w:szCs w:val="22"/>
      <w:lang w:eastAsia="en-US"/>
    </w:rPr>
  </w:style>
  <w:style w:type="character" w:styleId="Hyperlink">
    <w:name w:val="Hyperlink"/>
    <w:basedOn w:val="DefaultParagraphFont"/>
    <w:uiPriority w:val="99"/>
    <w:unhideWhenUsed/>
    <w:rsid w:val="003334B1"/>
    <w:rPr>
      <w:color w:val="0563C1" w:themeColor="hyperlink"/>
      <w:u w:val="single"/>
    </w:rPr>
  </w:style>
  <w:style w:type="paragraph" w:styleId="ListParagraph">
    <w:name w:val="List Paragraph"/>
    <w:basedOn w:val="Normal"/>
    <w:link w:val="ListParagraphChar"/>
    <w:uiPriority w:val="34"/>
    <w:qFormat/>
    <w:rsid w:val="003334B1"/>
    <w:pPr>
      <w:ind w:left="720"/>
      <w:contextualSpacing/>
    </w:pPr>
  </w:style>
  <w:style w:type="paragraph" w:styleId="Caption">
    <w:name w:val="caption"/>
    <w:basedOn w:val="Normal"/>
    <w:next w:val="Normal"/>
    <w:uiPriority w:val="35"/>
    <w:unhideWhenUsed/>
    <w:qFormat/>
    <w:rsid w:val="004C2EC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0F65E7"/>
    <w:rPr>
      <w:sz w:val="16"/>
      <w:szCs w:val="16"/>
    </w:rPr>
  </w:style>
  <w:style w:type="paragraph" w:styleId="CommentText">
    <w:name w:val="annotation text"/>
    <w:basedOn w:val="Normal"/>
    <w:link w:val="CommentTextChar"/>
    <w:uiPriority w:val="99"/>
    <w:semiHidden/>
    <w:unhideWhenUsed/>
    <w:rsid w:val="000F65E7"/>
    <w:rPr>
      <w:sz w:val="20"/>
      <w:szCs w:val="20"/>
    </w:rPr>
  </w:style>
  <w:style w:type="character" w:customStyle="1" w:styleId="CommentTextChar">
    <w:name w:val="Comment Text Char"/>
    <w:basedOn w:val="DefaultParagraphFont"/>
    <w:link w:val="CommentText"/>
    <w:uiPriority w:val="99"/>
    <w:semiHidden/>
    <w:rsid w:val="000F65E7"/>
    <w:rPr>
      <w:color w:val="262626"/>
      <w:lang w:eastAsia="en-US"/>
    </w:rPr>
  </w:style>
  <w:style w:type="paragraph" w:styleId="CommentSubject">
    <w:name w:val="annotation subject"/>
    <w:basedOn w:val="CommentText"/>
    <w:next w:val="CommentText"/>
    <w:link w:val="CommentSubjectChar"/>
    <w:uiPriority w:val="99"/>
    <w:semiHidden/>
    <w:unhideWhenUsed/>
    <w:rsid w:val="000F65E7"/>
    <w:rPr>
      <w:b/>
      <w:bCs/>
    </w:rPr>
  </w:style>
  <w:style w:type="character" w:customStyle="1" w:styleId="CommentSubjectChar">
    <w:name w:val="Comment Subject Char"/>
    <w:basedOn w:val="CommentTextChar"/>
    <w:link w:val="CommentSubject"/>
    <w:uiPriority w:val="99"/>
    <w:semiHidden/>
    <w:rsid w:val="000F65E7"/>
    <w:rPr>
      <w:b/>
      <w:bCs/>
      <w:color w:val="262626"/>
      <w:lang w:eastAsia="en-US"/>
    </w:rPr>
  </w:style>
  <w:style w:type="paragraph" w:styleId="BalloonText">
    <w:name w:val="Balloon Text"/>
    <w:basedOn w:val="Normal"/>
    <w:link w:val="BalloonTextChar"/>
    <w:uiPriority w:val="99"/>
    <w:semiHidden/>
    <w:unhideWhenUsed/>
    <w:rsid w:val="000F65E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5E7"/>
    <w:rPr>
      <w:rFonts w:ascii="Segoe UI" w:hAnsi="Segoe UI" w:cs="Segoe UI"/>
      <w:color w:val="262626"/>
      <w:sz w:val="18"/>
      <w:szCs w:val="18"/>
      <w:lang w:eastAsia="en-US"/>
    </w:rPr>
  </w:style>
  <w:style w:type="paragraph" w:styleId="TOC2">
    <w:name w:val="toc 2"/>
    <w:basedOn w:val="Normal"/>
    <w:next w:val="Normal"/>
    <w:autoRedefine/>
    <w:uiPriority w:val="39"/>
    <w:unhideWhenUsed/>
    <w:rsid w:val="0038221D"/>
    <w:pPr>
      <w:tabs>
        <w:tab w:val="right" w:leader="dot" w:pos="9016"/>
      </w:tabs>
      <w:spacing w:after="0"/>
      <w:ind w:left="240"/>
    </w:pPr>
  </w:style>
  <w:style w:type="paragraph" w:styleId="TOC1">
    <w:name w:val="toc 1"/>
    <w:basedOn w:val="Normal"/>
    <w:next w:val="Normal"/>
    <w:autoRedefine/>
    <w:uiPriority w:val="39"/>
    <w:unhideWhenUsed/>
    <w:rsid w:val="00602CC6"/>
    <w:pPr>
      <w:tabs>
        <w:tab w:val="right" w:leader="dot" w:pos="9016"/>
      </w:tabs>
      <w:spacing w:after="0"/>
    </w:pPr>
    <w:rPr>
      <w:b/>
      <w:noProof/>
    </w:rPr>
  </w:style>
  <w:style w:type="character" w:customStyle="1" w:styleId="ListParagraphChar">
    <w:name w:val="List Paragraph Char"/>
    <w:basedOn w:val="DefaultParagraphFont"/>
    <w:link w:val="ListParagraph"/>
    <w:uiPriority w:val="34"/>
    <w:rsid w:val="00FE7CD4"/>
    <w:rPr>
      <w:color w:val="262626"/>
      <w:sz w:val="24"/>
      <w:szCs w:val="22"/>
      <w:lang w:eastAsia="en-US"/>
    </w:rPr>
  </w:style>
  <w:style w:type="paragraph" w:styleId="TOC3">
    <w:name w:val="toc 3"/>
    <w:basedOn w:val="Normal"/>
    <w:next w:val="Normal"/>
    <w:autoRedefine/>
    <w:uiPriority w:val="39"/>
    <w:unhideWhenUsed/>
    <w:rsid w:val="00B83F21"/>
    <w:pPr>
      <w:spacing w:after="100"/>
      <w:ind w:left="480"/>
    </w:pPr>
  </w:style>
  <w:style w:type="paragraph" w:styleId="FootnoteText">
    <w:name w:val="footnote text"/>
    <w:basedOn w:val="Normal"/>
    <w:link w:val="FootnoteTextChar"/>
    <w:uiPriority w:val="99"/>
    <w:semiHidden/>
    <w:unhideWhenUsed/>
    <w:rsid w:val="00CC03B9"/>
    <w:pPr>
      <w:spacing w:after="0"/>
    </w:pPr>
    <w:rPr>
      <w:sz w:val="20"/>
      <w:szCs w:val="20"/>
    </w:rPr>
  </w:style>
  <w:style w:type="character" w:customStyle="1" w:styleId="FootnoteTextChar">
    <w:name w:val="Footnote Text Char"/>
    <w:basedOn w:val="DefaultParagraphFont"/>
    <w:link w:val="FootnoteText"/>
    <w:uiPriority w:val="99"/>
    <w:semiHidden/>
    <w:rsid w:val="00CC03B9"/>
    <w:rPr>
      <w:color w:val="262626"/>
      <w:lang w:eastAsia="en-US"/>
    </w:rPr>
  </w:style>
  <w:style w:type="character" w:styleId="FootnoteReference">
    <w:name w:val="footnote reference"/>
    <w:basedOn w:val="DefaultParagraphFont"/>
    <w:uiPriority w:val="99"/>
    <w:unhideWhenUsed/>
    <w:rsid w:val="00CC03B9"/>
    <w:rPr>
      <w:vertAlign w:val="superscript"/>
    </w:rPr>
  </w:style>
  <w:style w:type="numbering" w:customStyle="1" w:styleId="Lettered">
    <w:name w:val="Lettered"/>
    <w:rsid w:val="00FA49A0"/>
    <w:pPr>
      <w:numPr>
        <w:numId w:val="9"/>
      </w:numPr>
    </w:pPr>
  </w:style>
  <w:style w:type="paragraph" w:styleId="NoSpacing">
    <w:name w:val="No Spacing"/>
    <w:rsid w:val="00FA49A0"/>
    <w:pPr>
      <w:pBdr>
        <w:top w:val="nil"/>
        <w:left w:val="nil"/>
        <w:bottom w:val="nil"/>
        <w:right w:val="nil"/>
        <w:between w:val="nil"/>
        <w:bar w:val="nil"/>
      </w:pBdr>
    </w:pPr>
    <w:rPr>
      <w:rFonts w:ascii="Arial" w:eastAsia="Arial" w:hAnsi="Arial" w:cs="Arial"/>
      <w:color w:val="000000"/>
      <w:sz w:val="22"/>
      <w:szCs w:val="22"/>
      <w:u w:color="000000"/>
      <w:bdr w:val="nil"/>
      <w:lang w:val="en-US"/>
    </w:rPr>
  </w:style>
  <w:style w:type="paragraph" w:styleId="BodyText">
    <w:name w:val="Body Text"/>
    <w:basedOn w:val="Normal"/>
    <w:link w:val="BodyTextChar"/>
    <w:uiPriority w:val="99"/>
    <w:semiHidden/>
    <w:unhideWhenUsed/>
    <w:rsid w:val="00253686"/>
    <w:pPr>
      <w:spacing w:after="120"/>
    </w:pPr>
  </w:style>
  <w:style w:type="character" w:customStyle="1" w:styleId="BodyTextChar">
    <w:name w:val="Body Text Char"/>
    <w:basedOn w:val="DefaultParagraphFont"/>
    <w:link w:val="BodyText"/>
    <w:uiPriority w:val="99"/>
    <w:semiHidden/>
    <w:rsid w:val="00253686"/>
    <w:rPr>
      <w:color w:val="262626"/>
      <w:sz w:val="24"/>
      <w:szCs w:val="22"/>
      <w:lang w:eastAsia="en-US"/>
    </w:rPr>
  </w:style>
  <w:style w:type="paragraph" w:customStyle="1" w:styleId="TableParagraph">
    <w:name w:val="Table Paragraph"/>
    <w:basedOn w:val="Normal"/>
    <w:uiPriority w:val="1"/>
    <w:qFormat/>
    <w:rsid w:val="00765EAC"/>
    <w:pPr>
      <w:widowControl w:val="0"/>
      <w:autoSpaceDE w:val="0"/>
      <w:autoSpaceDN w:val="0"/>
      <w:spacing w:after="0"/>
    </w:pPr>
    <w:rPr>
      <w:rFonts w:cs="Calibri"/>
      <w:color w:val="auto"/>
      <w:sz w:val="22"/>
      <w:lang w:eastAsia="en-AU" w:bidi="en-AU"/>
    </w:rPr>
  </w:style>
  <w:style w:type="character" w:customStyle="1" w:styleId="Heading5Char">
    <w:name w:val="Heading 5 Char"/>
    <w:basedOn w:val="DefaultParagraphFont"/>
    <w:link w:val="Heading5"/>
    <w:uiPriority w:val="9"/>
    <w:semiHidden/>
    <w:rsid w:val="00CE7886"/>
    <w:rPr>
      <w:rFonts w:asciiTheme="majorHAnsi" w:eastAsiaTheme="majorEastAsia" w:hAnsiTheme="majorHAnsi" w:cstheme="majorBidi"/>
      <w:color w:val="2E74B5" w:themeColor="accent1" w:themeShade="BF"/>
      <w:sz w:val="24"/>
      <w:szCs w:val="22"/>
      <w:lang w:eastAsia="en-US"/>
    </w:rPr>
  </w:style>
  <w:style w:type="character" w:customStyle="1" w:styleId="Heading6Char">
    <w:name w:val="Heading 6 Char"/>
    <w:basedOn w:val="DefaultParagraphFont"/>
    <w:link w:val="Heading6"/>
    <w:uiPriority w:val="9"/>
    <w:semiHidden/>
    <w:rsid w:val="00CE7886"/>
    <w:rPr>
      <w:rFonts w:asciiTheme="majorHAnsi" w:eastAsiaTheme="majorEastAsia" w:hAnsiTheme="majorHAnsi" w:cstheme="majorBidi"/>
      <w:color w:val="1F4D78" w:themeColor="accent1" w:themeShade="7F"/>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246451">
      <w:bodyDiv w:val="1"/>
      <w:marLeft w:val="0"/>
      <w:marRight w:val="0"/>
      <w:marTop w:val="0"/>
      <w:marBottom w:val="0"/>
      <w:divBdr>
        <w:top w:val="none" w:sz="0" w:space="0" w:color="auto"/>
        <w:left w:val="none" w:sz="0" w:space="0" w:color="auto"/>
        <w:bottom w:val="none" w:sz="0" w:space="0" w:color="auto"/>
        <w:right w:val="none" w:sz="0" w:space="0" w:color="auto"/>
      </w:divBdr>
    </w:div>
    <w:div w:id="452409181">
      <w:bodyDiv w:val="1"/>
      <w:marLeft w:val="0"/>
      <w:marRight w:val="0"/>
      <w:marTop w:val="0"/>
      <w:marBottom w:val="0"/>
      <w:divBdr>
        <w:top w:val="none" w:sz="0" w:space="0" w:color="auto"/>
        <w:left w:val="none" w:sz="0" w:space="0" w:color="auto"/>
        <w:bottom w:val="none" w:sz="0" w:space="0" w:color="auto"/>
        <w:right w:val="none" w:sz="0" w:space="0" w:color="auto"/>
      </w:divBdr>
    </w:div>
    <w:div w:id="1163398515">
      <w:bodyDiv w:val="1"/>
      <w:marLeft w:val="0"/>
      <w:marRight w:val="0"/>
      <w:marTop w:val="0"/>
      <w:marBottom w:val="0"/>
      <w:divBdr>
        <w:top w:val="none" w:sz="0" w:space="0" w:color="auto"/>
        <w:left w:val="none" w:sz="0" w:space="0" w:color="auto"/>
        <w:bottom w:val="none" w:sz="0" w:space="0" w:color="auto"/>
        <w:right w:val="none" w:sz="0" w:space="0" w:color="auto"/>
      </w:divBdr>
    </w:div>
    <w:div w:id="1691175209">
      <w:bodyDiv w:val="1"/>
      <w:marLeft w:val="0"/>
      <w:marRight w:val="0"/>
      <w:marTop w:val="0"/>
      <w:marBottom w:val="0"/>
      <w:divBdr>
        <w:top w:val="none" w:sz="0" w:space="0" w:color="auto"/>
        <w:left w:val="none" w:sz="0" w:space="0" w:color="auto"/>
        <w:bottom w:val="none" w:sz="0" w:space="0" w:color="auto"/>
        <w:right w:val="none" w:sz="0" w:space="0" w:color="auto"/>
      </w:divBdr>
    </w:div>
    <w:div w:id="1962805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7.jpg"/><Relationship Id="rId39" Type="http://schemas.openxmlformats.org/officeDocument/2006/relationships/image" Target="media/image30.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5.jp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0.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2.xml"/><Relationship Id="rId28" Type="http://schemas.openxmlformats.org/officeDocument/2006/relationships/image" Target="media/image19.jpg"/><Relationship Id="rId36" Type="http://schemas.openxmlformats.org/officeDocument/2006/relationships/image" Target="media/image27.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footer" Target="footer1.xml"/><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E8AB54-CD59-41E1-A6C0-24B1BAA8A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612</TotalTime>
  <Pages>74</Pages>
  <Words>23037</Words>
  <Characters>131313</Characters>
  <Application>Microsoft Office Word</Application>
  <DocSecurity>0</DocSecurity>
  <Lines>1094</Lines>
  <Paragraphs>308</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154042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Schneider</dc:creator>
  <cp:keywords/>
  <dc:description/>
  <cp:lastModifiedBy>Marcia Schneider</cp:lastModifiedBy>
  <cp:revision>92</cp:revision>
  <dcterms:created xsi:type="dcterms:W3CDTF">2018-04-24T06:00:00Z</dcterms:created>
  <dcterms:modified xsi:type="dcterms:W3CDTF">2018-06-20T07:17:00Z</dcterms:modified>
</cp:coreProperties>
</file>